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1BD78" w14:textId="77777777" w:rsidR="00C45977" w:rsidRPr="00C45977" w:rsidRDefault="00C45977" w:rsidP="005A6CD8">
      <w:pPr>
        <w:shd w:val="clear" w:color="auto" w:fill="FFFFFF"/>
        <w:spacing w:before="150" w:after="150" w:line="240" w:lineRule="auto"/>
        <w:jc w:val="center"/>
        <w:outlineLvl w:val="1"/>
        <w:rPr>
          <w:rFonts w:ascii="Calibri" w:eastAsia="Times New Roman" w:hAnsi="Calibri" w:cs="Tahoma"/>
          <w:b/>
          <w:color w:val="6C6D6F"/>
          <w:sz w:val="36"/>
          <w:szCs w:val="36"/>
          <w:u w:val="single"/>
          <w:lang w:eastAsia="el-GR"/>
        </w:rPr>
      </w:pPr>
      <w:r w:rsidRPr="00C45977">
        <w:rPr>
          <w:rFonts w:ascii="Calibri" w:eastAsia="Times New Roman" w:hAnsi="Calibri" w:cs="Tahoma"/>
          <w:b/>
          <w:color w:val="6C6D6F"/>
          <w:sz w:val="36"/>
          <w:szCs w:val="36"/>
          <w:u w:val="single"/>
          <w:lang w:eastAsia="el-GR"/>
        </w:rPr>
        <w:t>6. ΜYΚΗΝΑΪΚΗ ΘΡΗΣΚΕIΑ ΚΑI ΤΕΧΝΗ</w:t>
      </w:r>
      <w:r w:rsidR="000344AC">
        <w:rPr>
          <w:rFonts w:ascii="Calibri" w:eastAsia="Times New Roman" w:hAnsi="Calibri" w:cs="Tahoma"/>
          <w:b/>
          <w:color w:val="6C6D6F"/>
          <w:sz w:val="36"/>
          <w:szCs w:val="36"/>
          <w:u w:val="single"/>
          <w:lang w:eastAsia="el-GR"/>
        </w:rPr>
        <w:t xml:space="preserve"> (σελ. 33)</w:t>
      </w:r>
    </w:p>
    <w:p w14:paraId="55CE8015" w14:textId="77777777" w:rsidR="00C45977" w:rsidRPr="00C45977" w:rsidRDefault="00C45977" w:rsidP="00C45977">
      <w:pPr>
        <w:rPr>
          <w:rFonts w:ascii="Calibri" w:eastAsia="Calibri" w:hAnsi="Calibri" w:cs="Tahoma"/>
          <w:color w:val="333333"/>
          <w:sz w:val="24"/>
          <w:szCs w:val="24"/>
          <w:shd w:val="clear" w:color="auto" w:fill="FFFFFF"/>
        </w:rPr>
      </w:pPr>
    </w:p>
    <w:p w14:paraId="6E14829D" w14:textId="77777777" w:rsidR="00C45977" w:rsidRPr="00C45977" w:rsidRDefault="00C45977" w:rsidP="00C45977">
      <w:pPr>
        <w:pBdr>
          <w:left w:val="single" w:sz="4" w:space="4" w:color="auto"/>
        </w:pBdr>
        <w:rPr>
          <w:rFonts w:ascii="Calibri" w:eastAsia="Calibri" w:hAnsi="Calibri" w:cs="Tahoma"/>
          <w:color w:val="333333"/>
          <w:sz w:val="24"/>
          <w:szCs w:val="24"/>
          <w:shd w:val="clear" w:color="auto" w:fill="FFFFFF"/>
        </w:rPr>
      </w:pPr>
      <w:r w:rsidRPr="00C45977">
        <w:rPr>
          <w:rFonts w:ascii="Calibri" w:eastAsia="Calibri" w:hAnsi="Calibri" w:cs="Tahoma"/>
          <w:b/>
          <w:color w:val="333333"/>
          <w:sz w:val="24"/>
          <w:szCs w:val="24"/>
          <w:u w:val="single"/>
          <w:shd w:val="clear" w:color="auto" w:fill="FFFFFF"/>
        </w:rPr>
        <w:t>Θρησκεία:</w:t>
      </w:r>
      <w:r w:rsidRPr="00C45977">
        <w:rPr>
          <w:rFonts w:ascii="Calibri" w:eastAsia="Calibri" w:hAnsi="Calibri" w:cs="Tahoma"/>
          <w:b/>
          <w:color w:val="333333"/>
          <w:sz w:val="24"/>
          <w:szCs w:val="24"/>
          <w:shd w:val="clear" w:color="auto" w:fill="FFFFFF"/>
        </w:rPr>
        <w:t xml:space="preserve"> </w:t>
      </w:r>
      <w:r w:rsidRPr="00C45977">
        <w:rPr>
          <w:rFonts w:ascii="Calibri" w:eastAsia="Calibri" w:hAnsi="Calibri" w:cs="Tahoma"/>
          <w:color w:val="333333"/>
          <w:sz w:val="24"/>
          <w:szCs w:val="24"/>
          <w:shd w:val="clear" w:color="auto" w:fill="FFFFFF"/>
        </w:rPr>
        <w:t>Πριν από την αποκρυπτογράφηση της Γραμμικής γραφής Β οι επιστήμονες υποστήριζαν ότι η μυκηναϊκή θρησκεία ήταν όμοια με τη μινωική. Όμως, μετά την ανάγνωση των πινακίδων της Γραμμικής γραφής Β αποδεικνύεται ότι οι Μυκηναίοι λάτρευαν όλους τους μεγάλους Έλληνες θεούς της 1ης χιλιετίας, με εξαίρεση τον Απόλλωνα. Στις πινακίδες αναφέρονται ο Ζευς, η Ήρα, ο Ποσειδών, η Άρτεμις, ο Άρης και ο Διόνυσος. Σπουδαία θέση κατέχει μία θεά η οποία συνήθως προσφωνείται με την ονομασία «Πότνια (=σεβάσμια)». Η «Κυρία Πότνια» είναι αναμφίβολα η κυρίαρχη μυκηναϊκή θεότητα και σε αυτήν προσφέρονται πρόβατα, αρωματικά έλαια, μαλλί και μέλι.</w:t>
      </w:r>
      <w:r w:rsidRPr="00C45977">
        <w:rPr>
          <w:rFonts w:ascii="Calibri" w:eastAsia="Calibri" w:hAnsi="Calibri" w:cs="Tahoma"/>
          <w:color w:val="333333"/>
          <w:sz w:val="24"/>
          <w:szCs w:val="24"/>
        </w:rPr>
        <w:br/>
      </w:r>
      <w:r w:rsidRPr="00C45977">
        <w:rPr>
          <w:rFonts w:ascii="Calibri" w:eastAsia="Calibri" w:hAnsi="Calibri" w:cs="Tahoma"/>
          <w:color w:val="333333"/>
          <w:sz w:val="24"/>
          <w:szCs w:val="24"/>
          <w:shd w:val="clear" w:color="auto" w:fill="FFFFFF"/>
        </w:rPr>
        <w:t>Οι Μυκηναίοι δεν έχτιζαν μεγάλους ναούς και, όπως και οι Μινωίτες, λάτρευαν τους θεούς τους σε μικρά ιερά. Το ιερατείο, άνδρες και γυναίκες, αποτελούσε ιδιαίτερη κοινωνική τάξη και διαχειριζόταν την περιουσία των ιερών.</w:t>
      </w:r>
    </w:p>
    <w:p w14:paraId="23E3AAD6" w14:textId="77777777" w:rsidR="00C45977" w:rsidRPr="00C45977" w:rsidRDefault="00C45977" w:rsidP="00C45977">
      <w:pPr>
        <w:rPr>
          <w:rFonts w:ascii="Calibri" w:eastAsia="Calibri" w:hAnsi="Calibri" w:cs="Tahoma"/>
          <w:b/>
          <w:color w:val="333333"/>
          <w:sz w:val="24"/>
          <w:szCs w:val="24"/>
          <w:u w:val="single"/>
          <w:shd w:val="clear" w:color="auto" w:fill="FFFFFF"/>
        </w:rPr>
      </w:pPr>
    </w:p>
    <w:p w14:paraId="701D997F" w14:textId="77777777" w:rsidR="00C45977" w:rsidRPr="00C45977" w:rsidRDefault="00C45977" w:rsidP="00C45977">
      <w:pPr>
        <w:rPr>
          <w:rFonts w:ascii="Calibri" w:eastAsia="Calibri" w:hAnsi="Calibri" w:cs="Tahoma"/>
          <w:color w:val="333333"/>
          <w:sz w:val="24"/>
          <w:szCs w:val="24"/>
          <w:shd w:val="clear" w:color="auto" w:fill="FFFFFF"/>
        </w:rPr>
      </w:pPr>
      <w:r w:rsidRPr="00C45977">
        <w:rPr>
          <w:rFonts w:ascii="Calibri" w:eastAsia="Calibri" w:hAnsi="Calibri" w:cs="Tahoma"/>
          <w:b/>
          <w:color w:val="333333"/>
          <w:sz w:val="24"/>
          <w:szCs w:val="24"/>
          <w:u w:val="single"/>
          <w:shd w:val="clear" w:color="auto" w:fill="FFFFFF"/>
        </w:rPr>
        <w:t>Τέχνη</w:t>
      </w:r>
      <w:r w:rsidRPr="00C45977">
        <w:rPr>
          <w:rFonts w:ascii="Calibri" w:eastAsia="Calibri" w:hAnsi="Calibri" w:cs="Tahoma"/>
          <w:b/>
          <w:color w:val="333333"/>
          <w:sz w:val="24"/>
          <w:szCs w:val="24"/>
          <w:shd w:val="clear" w:color="auto" w:fill="FFFFFF"/>
        </w:rPr>
        <w:t xml:space="preserve">: </w:t>
      </w:r>
      <w:r w:rsidRPr="00C45977">
        <w:rPr>
          <w:rFonts w:ascii="Calibri" w:eastAsia="Calibri" w:hAnsi="Calibri" w:cs="Tahoma"/>
          <w:color w:val="333333"/>
          <w:sz w:val="24"/>
          <w:szCs w:val="24"/>
          <w:shd w:val="clear" w:color="auto" w:fill="FFFFFF"/>
        </w:rPr>
        <w:t>Η μυκηναϊκή τέχνη δέχτηκε έντονη μινωική επίδραση.</w:t>
      </w:r>
    </w:p>
    <w:p w14:paraId="3A96A176" w14:textId="77777777" w:rsidR="00C45977" w:rsidRPr="00C45977" w:rsidRDefault="00C45977" w:rsidP="00C45977">
      <w:pPr>
        <w:pBdr>
          <w:left w:val="single" w:sz="4" w:space="4" w:color="auto"/>
        </w:pBdr>
        <w:shd w:val="clear" w:color="auto" w:fill="FFFFFF"/>
        <w:spacing w:after="90"/>
        <w:rPr>
          <w:rFonts w:ascii="Calibri" w:eastAsia="Times New Roman" w:hAnsi="Calibri" w:cs="Tahoma"/>
          <w:color w:val="333333"/>
          <w:sz w:val="24"/>
          <w:szCs w:val="24"/>
          <w:lang w:eastAsia="el-GR"/>
        </w:rPr>
      </w:pPr>
      <w:r w:rsidRPr="00C45977">
        <w:rPr>
          <w:rFonts w:ascii="Calibri" w:eastAsia="Times New Roman" w:hAnsi="Calibri" w:cs="Tahoma"/>
          <w:color w:val="333333"/>
          <w:sz w:val="24"/>
          <w:szCs w:val="24"/>
          <w:lang w:eastAsia="el-GR"/>
        </w:rPr>
        <w:t xml:space="preserve">Οι Μυκηναίοι χτίζουν τα μνημειακά </w:t>
      </w:r>
      <w:r w:rsidRPr="00C45977">
        <w:rPr>
          <w:rFonts w:ascii="Calibri" w:eastAsia="Times New Roman" w:hAnsi="Calibri" w:cs="Tahoma"/>
          <w:b/>
          <w:color w:val="333333"/>
          <w:sz w:val="24"/>
          <w:szCs w:val="24"/>
          <w:lang w:eastAsia="el-GR"/>
        </w:rPr>
        <w:t>ανάκτορά</w:t>
      </w:r>
      <w:r w:rsidRPr="00C45977">
        <w:rPr>
          <w:rFonts w:ascii="Calibri" w:eastAsia="Times New Roman" w:hAnsi="Calibri" w:cs="Tahoma"/>
          <w:color w:val="333333"/>
          <w:sz w:val="24"/>
          <w:szCs w:val="24"/>
          <w:lang w:eastAsia="el-GR"/>
        </w:rPr>
        <w:t xml:space="preserve"> τους σε υψώματα –ακροπόλεις– τις οποίες οχυρώνουν με γιγαντιαία τείχη. Τα </w:t>
      </w:r>
      <w:r w:rsidRPr="00C45977">
        <w:rPr>
          <w:rFonts w:ascii="Calibri" w:eastAsia="Times New Roman" w:hAnsi="Calibri" w:cs="Tahoma"/>
          <w:b/>
          <w:color w:val="333333"/>
          <w:sz w:val="24"/>
          <w:szCs w:val="24"/>
          <w:lang w:eastAsia="el-GR"/>
        </w:rPr>
        <w:t>τείχη</w:t>
      </w:r>
      <w:r w:rsidRPr="00C45977">
        <w:rPr>
          <w:rFonts w:ascii="Calibri" w:eastAsia="Times New Roman" w:hAnsi="Calibri" w:cs="Tahoma"/>
          <w:color w:val="333333"/>
          <w:sz w:val="24"/>
          <w:szCs w:val="24"/>
          <w:lang w:eastAsia="el-GR"/>
        </w:rPr>
        <w:t xml:space="preserve"> αυτά είναι γνωστά ως </w:t>
      </w:r>
      <w:r w:rsidRPr="00C45977">
        <w:rPr>
          <w:rFonts w:ascii="Calibri" w:eastAsia="Times New Roman" w:hAnsi="Calibri" w:cs="Tahoma"/>
          <w:b/>
          <w:color w:val="333333"/>
          <w:sz w:val="24"/>
          <w:szCs w:val="24"/>
          <w:lang w:eastAsia="el-GR"/>
        </w:rPr>
        <w:t>«κυκλώπεια»</w:t>
      </w:r>
      <w:r w:rsidRPr="00C45977">
        <w:rPr>
          <w:rFonts w:ascii="Calibri" w:eastAsia="Times New Roman" w:hAnsi="Calibri" w:cs="Tahoma"/>
          <w:color w:val="333333"/>
          <w:sz w:val="24"/>
          <w:szCs w:val="24"/>
          <w:lang w:eastAsia="el-GR"/>
        </w:rPr>
        <w:t xml:space="preserve"> από τους τεράστιους ογκόλιθους που χρησιμοποιούνταν για το χτίσιμό τους. Τα μυκηναϊκά ανάκτορα έχουν πιο απλό σχέδιο από τα μινωικά. Αποτελούνται από έναν προθάλαμο που βλέπει στην αυλή και από το κύριο δωμάτιο που έχει μεγάλη κυκλική εστία στο κέντρο και είναι ο χώρος υποδοχής (τύπος μεγάρου). Γύρω υπάρχουν άλλοι δευτερεύοντες χώροι κατοικίας των ηγεμόνων.</w:t>
      </w:r>
    </w:p>
    <w:p w14:paraId="3FBCFD51" w14:textId="77777777" w:rsidR="00C45977" w:rsidRPr="00C45977" w:rsidRDefault="00C45977" w:rsidP="00C45977">
      <w:pPr>
        <w:shd w:val="clear" w:color="auto" w:fill="FFFFFF"/>
        <w:spacing w:after="90"/>
        <w:rPr>
          <w:rFonts w:ascii="Calibri" w:eastAsia="Times New Roman" w:hAnsi="Calibri" w:cs="Tahoma"/>
          <w:color w:val="333333"/>
          <w:sz w:val="24"/>
          <w:szCs w:val="24"/>
          <w:lang w:eastAsia="el-GR"/>
        </w:rPr>
      </w:pPr>
    </w:p>
    <w:p w14:paraId="504ED0E9" w14:textId="77777777" w:rsidR="00C45977" w:rsidRPr="00C45977" w:rsidRDefault="00C45977" w:rsidP="00C45977">
      <w:pPr>
        <w:pBdr>
          <w:left w:val="single" w:sz="4" w:space="4" w:color="auto"/>
        </w:pBdr>
        <w:shd w:val="clear" w:color="auto" w:fill="FFFFFF"/>
        <w:spacing w:after="90"/>
        <w:rPr>
          <w:rFonts w:ascii="Calibri" w:eastAsia="Times New Roman" w:hAnsi="Calibri" w:cs="Tahoma"/>
          <w:color w:val="333333"/>
          <w:sz w:val="24"/>
          <w:szCs w:val="24"/>
          <w:lang w:eastAsia="el-GR"/>
        </w:rPr>
      </w:pPr>
      <w:r w:rsidRPr="00C45977">
        <w:rPr>
          <w:rFonts w:ascii="Calibri" w:eastAsia="Times New Roman" w:hAnsi="Calibri" w:cs="Tahoma"/>
          <w:color w:val="333333"/>
          <w:sz w:val="24"/>
          <w:szCs w:val="24"/>
          <w:lang w:eastAsia="el-GR"/>
        </w:rPr>
        <w:t>Περίφημοι είναι επίσης οι μνημειακοί </w:t>
      </w:r>
      <w:r w:rsidRPr="00C45977">
        <w:rPr>
          <w:rFonts w:ascii="Calibri" w:eastAsia="Times New Roman" w:hAnsi="Calibri" w:cs="Tahoma"/>
          <w:b/>
          <w:bCs/>
          <w:color w:val="333333"/>
          <w:sz w:val="24"/>
          <w:szCs w:val="24"/>
          <w:lang w:eastAsia="el-GR"/>
        </w:rPr>
        <w:t xml:space="preserve">θολωτοί τάφοι, </w:t>
      </w:r>
      <w:r w:rsidRPr="00C45977">
        <w:rPr>
          <w:rFonts w:ascii="Calibri" w:eastAsia="Times New Roman" w:hAnsi="Calibri" w:cs="Tahoma"/>
          <w:color w:val="333333"/>
          <w:sz w:val="24"/>
          <w:szCs w:val="24"/>
          <w:lang w:eastAsia="el-GR"/>
        </w:rPr>
        <w:t xml:space="preserve">όπως ο «θησαυρός του Ατρέα» στις Μυκήνες, που θεωρήθηκε ως τάφος του Αγαμέμνονα, ο «τάφος της Κλυταιμνήστρας» και άλλοι. Από ένα μακρύ, πλαισιωμένο με λίθινους τοίχους διάδρομο, φθάνει κανείς στον κυκλικό θάλαμο που είναι χτισμένος με παρόμοιο τρόπο και έχει θολωτή οροφή. Μετά την ταφή, διάδρομος και θάλαμος σκεπάζονται με χώμα, ώστε ο τάφος έμοιαζε εξωτερικά με χαμηλό λόφο. </w:t>
      </w:r>
    </w:p>
    <w:p w14:paraId="7AB1553B" w14:textId="77777777" w:rsidR="00C45977" w:rsidRPr="00C45977" w:rsidRDefault="00C45977" w:rsidP="00C45977">
      <w:pPr>
        <w:shd w:val="clear" w:color="auto" w:fill="FFFFFF"/>
        <w:spacing w:after="90"/>
        <w:rPr>
          <w:rFonts w:ascii="Calibri" w:eastAsia="Times New Roman" w:hAnsi="Calibri" w:cs="Tahoma"/>
          <w:color w:val="333333"/>
          <w:sz w:val="24"/>
          <w:szCs w:val="24"/>
          <w:lang w:eastAsia="el-GR"/>
        </w:rPr>
      </w:pPr>
    </w:p>
    <w:p w14:paraId="001FA96E" w14:textId="356B3777" w:rsidR="00C45977" w:rsidRPr="00C45977" w:rsidRDefault="00C45977" w:rsidP="00C45977">
      <w:pPr>
        <w:rPr>
          <w:rFonts w:ascii="Calibri" w:eastAsia="Calibri" w:hAnsi="Calibri" w:cs="Tahoma"/>
          <w:color w:val="333333"/>
          <w:sz w:val="24"/>
          <w:szCs w:val="24"/>
          <w:shd w:val="clear" w:color="auto" w:fill="FFFFFF"/>
        </w:rPr>
      </w:pPr>
      <w:r w:rsidRPr="00C45977">
        <w:rPr>
          <w:rFonts w:ascii="Calibri" w:eastAsia="Calibri" w:hAnsi="Calibri" w:cs="Tahoma"/>
          <w:color w:val="333333"/>
          <w:sz w:val="24"/>
          <w:szCs w:val="24"/>
          <w:shd w:val="clear" w:color="auto" w:fill="FFFFFF"/>
        </w:rPr>
        <w:t xml:space="preserve">Τα μυκηναϊκά ανάκτορα διακοσμούνται και αυτά με τοιχογραφίες που έχουν δεχτεί μεγάλη επίδραση από τις μινωικές. Παρόμοια επιρροή παρατηρείται και στη μυκηναϊκή κεραμική. </w:t>
      </w:r>
      <w:r w:rsidR="004211F6">
        <w:rPr>
          <w:rFonts w:ascii="Calibri" w:eastAsia="Calibri" w:hAnsi="Calibri" w:cs="Tahoma"/>
          <w:color w:val="333333"/>
          <w:sz w:val="24"/>
          <w:szCs w:val="24"/>
          <w:shd w:val="clear" w:color="auto" w:fill="FFFFFF"/>
        </w:rPr>
        <w:t xml:space="preserve">Τα αγγεία </w:t>
      </w:r>
      <w:r w:rsidRPr="00C45977">
        <w:rPr>
          <w:rFonts w:ascii="Calibri" w:eastAsia="Calibri" w:hAnsi="Calibri" w:cs="Tahoma"/>
          <w:color w:val="333333"/>
          <w:sz w:val="24"/>
          <w:szCs w:val="24"/>
          <w:shd w:val="clear" w:color="auto" w:fill="FFFFFF"/>
        </w:rPr>
        <w:t>διακοσμούνται με παραστάσεις ανθρώπων, ζώων, πουλιών, ψαριών και με σκηνές με άρματα.</w:t>
      </w:r>
    </w:p>
    <w:p w14:paraId="59B39123" w14:textId="40D8ADB2" w:rsidR="00C45977" w:rsidRDefault="00C45977" w:rsidP="00C45977">
      <w:pPr>
        <w:rPr>
          <w:rFonts w:ascii="Calibri" w:eastAsia="Calibri" w:hAnsi="Calibri" w:cs="Tahoma"/>
          <w:color w:val="333333"/>
          <w:sz w:val="24"/>
          <w:szCs w:val="24"/>
          <w:shd w:val="clear" w:color="auto" w:fill="FFFFFF"/>
        </w:rPr>
      </w:pPr>
      <w:r w:rsidRPr="00C45977">
        <w:rPr>
          <w:rFonts w:ascii="Calibri" w:eastAsia="Calibri" w:hAnsi="Calibri" w:cs="Tahoma"/>
          <w:color w:val="333333"/>
          <w:sz w:val="24"/>
          <w:szCs w:val="24"/>
          <w:shd w:val="clear" w:color="auto" w:fill="FFFFFF"/>
        </w:rPr>
        <w:t xml:space="preserve">Υπέροχα είναι τα κοσμήματα από χρυσό, ασήμι ή από άλλα πολύτιμα υλικά. Από παρόμοια υλικά έχουν κατασκευαστεί και άλλα πολυτελή αντικείμενα, όπως σκεύη με ανάγλυφες παραστάσεις κυνηγιού, ξίφη και εγχειρίδια, </w:t>
      </w:r>
      <w:r w:rsidR="004211F6">
        <w:rPr>
          <w:rFonts w:ascii="Calibri" w:eastAsia="Calibri" w:hAnsi="Calibri" w:cs="Tahoma"/>
          <w:color w:val="333333"/>
          <w:sz w:val="24"/>
          <w:szCs w:val="24"/>
          <w:shd w:val="clear" w:color="auto" w:fill="FFFFFF"/>
        </w:rPr>
        <w:t xml:space="preserve">οι </w:t>
      </w:r>
      <w:r w:rsidRPr="00C45977">
        <w:rPr>
          <w:rFonts w:ascii="Calibri" w:eastAsia="Calibri" w:hAnsi="Calibri" w:cs="Tahoma"/>
          <w:color w:val="333333"/>
          <w:sz w:val="24"/>
          <w:szCs w:val="24"/>
          <w:shd w:val="clear" w:color="auto" w:fill="FFFFFF"/>
        </w:rPr>
        <w:t>χρυσές προσωπίδες των νεκρών βασιλιάδων που βρέθηκαν στους μυκηναϊκούς τάφους και άλλα. Όλα αυτά τα έργα τέχνης φανερώνουν μεγάλο πλούτο, δύναμη και επαφές των Μυκηναίων με τις χώρες της Ανατολής και της Αιγύπτου απ’ όπου προμηθεύονταν τα πολύτιμα υλικά.</w:t>
      </w:r>
    </w:p>
    <w:p w14:paraId="58D3E40D" w14:textId="77777777" w:rsidR="00770E2C" w:rsidRDefault="00770E2C" w:rsidP="00C45977">
      <w:pPr>
        <w:rPr>
          <w:rFonts w:ascii="Calibri" w:eastAsia="Calibri" w:hAnsi="Calibri" w:cs="Tahoma"/>
          <w:color w:val="333333"/>
          <w:sz w:val="24"/>
          <w:szCs w:val="24"/>
          <w:shd w:val="clear" w:color="auto" w:fill="FFFFFF"/>
        </w:rPr>
      </w:pPr>
    </w:p>
    <w:p w14:paraId="53E0A402" w14:textId="77777777" w:rsidR="00770E2C" w:rsidRDefault="00770E2C" w:rsidP="00C45977">
      <w:pPr>
        <w:rPr>
          <w:rFonts w:ascii="Calibri" w:eastAsia="Calibri" w:hAnsi="Calibri" w:cs="Tahoma"/>
          <w:color w:val="333333"/>
          <w:sz w:val="24"/>
          <w:szCs w:val="24"/>
          <w:shd w:val="clear" w:color="auto" w:fill="FFFFFF"/>
        </w:rPr>
      </w:pPr>
    </w:p>
    <w:p w14:paraId="6C00C008" w14:textId="77777777" w:rsidR="00770E2C" w:rsidRDefault="00770E2C" w:rsidP="00C45977">
      <w:pPr>
        <w:rPr>
          <w:rFonts w:ascii="Calibri" w:eastAsia="Calibri" w:hAnsi="Calibri" w:cs="Tahoma"/>
          <w:color w:val="333333"/>
          <w:sz w:val="24"/>
          <w:szCs w:val="24"/>
          <w:shd w:val="clear" w:color="auto" w:fill="FFFFFF"/>
        </w:rPr>
      </w:pPr>
    </w:p>
    <w:p w14:paraId="73D3F4E7" w14:textId="77777777" w:rsidR="00770E2C" w:rsidRDefault="00770E2C" w:rsidP="002D3565">
      <w:pPr>
        <w:jc w:val="center"/>
        <w:rPr>
          <w:rFonts w:ascii="Calibri" w:eastAsia="Calibri" w:hAnsi="Calibri" w:cs="Tahoma"/>
          <w:color w:val="333333"/>
          <w:sz w:val="24"/>
          <w:szCs w:val="24"/>
          <w:shd w:val="clear" w:color="auto" w:fill="FFFFFF"/>
        </w:rPr>
      </w:pPr>
      <w:r>
        <w:rPr>
          <w:noProof/>
          <w:lang w:eastAsia="el-GR"/>
        </w:rPr>
        <w:drawing>
          <wp:inline distT="0" distB="0" distL="0" distR="0" wp14:anchorId="4C093454" wp14:editId="18295076">
            <wp:extent cx="5272694" cy="3713018"/>
            <wp:effectExtent l="0" t="0" r="4445" b="1905"/>
            <wp:docPr id="1" name="Εικόνα 1" descr="Μυκηναϊκή αρχιτεκτονική και τέχ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υκηναϊκή αρχιτεκτονική και τέχνη"/>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14156"/>
                    </a:xfrm>
                    <a:prstGeom prst="rect">
                      <a:avLst/>
                    </a:prstGeom>
                    <a:noFill/>
                    <a:ln>
                      <a:noFill/>
                    </a:ln>
                  </pic:spPr>
                </pic:pic>
              </a:graphicData>
            </a:graphic>
          </wp:inline>
        </w:drawing>
      </w:r>
    </w:p>
    <w:p w14:paraId="256747D1" w14:textId="77777777" w:rsidR="00770E2C" w:rsidRDefault="00770E2C" w:rsidP="00770E2C">
      <w:r>
        <w:t xml:space="preserve">ΠΗΓΗ: </w:t>
      </w:r>
      <w:hyperlink r:id="rId7" w:history="1">
        <w:r w:rsidRPr="003A6F5E">
          <w:rPr>
            <w:rStyle w:val="Hyperlink"/>
          </w:rPr>
          <w:t>https://www.slideshare.net/irinikel/ss-41089517</w:t>
        </w:r>
      </w:hyperlink>
    </w:p>
    <w:p w14:paraId="063AE72F" w14:textId="77777777" w:rsidR="00770E2C" w:rsidRDefault="00770E2C" w:rsidP="00770E2C"/>
    <w:p w14:paraId="1CC3A9C7" w14:textId="77777777" w:rsidR="00770E2C" w:rsidRDefault="00770E2C" w:rsidP="002D3565">
      <w:pPr>
        <w:jc w:val="center"/>
      </w:pPr>
      <w:r>
        <w:rPr>
          <w:noProof/>
          <w:lang w:eastAsia="el-GR"/>
        </w:rPr>
        <w:drawing>
          <wp:inline distT="0" distB="0" distL="0" distR="0" wp14:anchorId="04007F76" wp14:editId="22267503">
            <wp:extent cx="5274310" cy="3956685"/>
            <wp:effectExtent l="0" t="0" r="2540" b="5715"/>
            <wp:docPr id="2" name="Εικόνα 2" descr="Μυκηναϊκή αρχιτεκτονική και τέχ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υκηναϊκή αρχιτεκτονική και τέχν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6685"/>
                    </a:xfrm>
                    <a:prstGeom prst="rect">
                      <a:avLst/>
                    </a:prstGeom>
                    <a:noFill/>
                    <a:ln>
                      <a:noFill/>
                    </a:ln>
                  </pic:spPr>
                </pic:pic>
              </a:graphicData>
            </a:graphic>
          </wp:inline>
        </w:drawing>
      </w:r>
    </w:p>
    <w:p w14:paraId="1954F782" w14:textId="77777777" w:rsidR="00770E2C" w:rsidRDefault="00770E2C" w:rsidP="00770E2C">
      <w:pPr>
        <w:rPr>
          <w:rStyle w:val="Hyperlink"/>
        </w:rPr>
      </w:pPr>
      <w:r>
        <w:t>ΠΗΓΗ:</w:t>
      </w:r>
      <w:r w:rsidRPr="00997941">
        <w:t xml:space="preserve"> </w:t>
      </w:r>
      <w:hyperlink r:id="rId9" w:history="1">
        <w:r w:rsidRPr="003A6F5E">
          <w:rPr>
            <w:rStyle w:val="Hyperlink"/>
          </w:rPr>
          <w:t>https://www.slideshare.net/irinikel/ss-41089517</w:t>
        </w:r>
      </w:hyperlink>
    </w:p>
    <w:p w14:paraId="029EEA96" w14:textId="77777777" w:rsidR="0046435B" w:rsidRDefault="0046435B" w:rsidP="00770E2C">
      <w:pPr>
        <w:rPr>
          <w:rStyle w:val="Hyperlink"/>
        </w:rPr>
      </w:pPr>
    </w:p>
    <w:p w14:paraId="0E311120" w14:textId="77777777" w:rsidR="0046435B" w:rsidRDefault="0046435B" w:rsidP="00770E2C">
      <w:pPr>
        <w:rPr>
          <w:rStyle w:val="Hyperlink"/>
        </w:rPr>
      </w:pPr>
    </w:p>
    <w:p w14:paraId="0F0404EF" w14:textId="06CFBA3C" w:rsidR="0046435B" w:rsidRPr="0046435B" w:rsidRDefault="0046435B" w:rsidP="0046435B">
      <w:pPr>
        <w:rPr>
          <w:color w:val="0000FF" w:themeColor="hyperlink"/>
          <w:u w:val="single"/>
        </w:rPr>
      </w:pPr>
      <w:r w:rsidRPr="0046435B">
        <w:rPr>
          <w:color w:val="0000FF" w:themeColor="hyperlink"/>
          <w:u w:val="single"/>
        </w:rPr>
        <w:drawing>
          <wp:inline distT="0" distB="0" distL="0" distR="0" wp14:anchorId="387581DE" wp14:editId="37B3C66B">
            <wp:extent cx="6645910" cy="6374765"/>
            <wp:effectExtent l="0" t="0" r="2540" b="6985"/>
            <wp:docPr id="152917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6374765"/>
                    </a:xfrm>
                    <a:prstGeom prst="rect">
                      <a:avLst/>
                    </a:prstGeom>
                    <a:noFill/>
                    <a:ln>
                      <a:noFill/>
                    </a:ln>
                  </pic:spPr>
                </pic:pic>
              </a:graphicData>
            </a:graphic>
          </wp:inline>
        </w:drawing>
      </w:r>
    </w:p>
    <w:p w14:paraId="19C5EBAD" w14:textId="77777777" w:rsidR="0046435B" w:rsidRDefault="0046435B" w:rsidP="00770E2C">
      <w:pPr>
        <w:rPr>
          <w:rStyle w:val="Hyperlink"/>
        </w:rPr>
      </w:pPr>
    </w:p>
    <w:p w14:paraId="651075F3" w14:textId="77777777" w:rsidR="0046435B" w:rsidRDefault="0046435B" w:rsidP="0046435B">
      <w:pPr>
        <w:jc w:val="center"/>
        <w:rPr>
          <w:rStyle w:val="Hyperlink"/>
        </w:rPr>
      </w:pPr>
    </w:p>
    <w:p w14:paraId="27ECC63C" w14:textId="77777777" w:rsidR="0046435B" w:rsidRDefault="0046435B" w:rsidP="00770E2C">
      <w:pPr>
        <w:rPr>
          <w:rStyle w:val="Hyperlink"/>
        </w:rPr>
      </w:pPr>
    </w:p>
    <w:p w14:paraId="6BA80340" w14:textId="77777777" w:rsidR="00770E2C" w:rsidRDefault="00770E2C" w:rsidP="002D3565">
      <w:pPr>
        <w:jc w:val="center"/>
      </w:pPr>
      <w:r>
        <w:rPr>
          <w:noProof/>
          <w:lang w:eastAsia="el-GR"/>
        </w:rPr>
        <w:lastRenderedPageBreak/>
        <w:drawing>
          <wp:inline distT="0" distB="0" distL="0" distR="0" wp14:anchorId="3863AED6" wp14:editId="63370ACD">
            <wp:extent cx="5274310" cy="3946525"/>
            <wp:effectExtent l="0" t="0" r="2540" b="0"/>
            <wp:docPr id="3" name="Εικόνα 3" descr="Anaparastasi-akropolis-mykin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parastasi-akropolis-mykinw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46525"/>
                    </a:xfrm>
                    <a:prstGeom prst="rect">
                      <a:avLst/>
                    </a:prstGeom>
                    <a:noFill/>
                    <a:ln>
                      <a:noFill/>
                    </a:ln>
                  </pic:spPr>
                </pic:pic>
              </a:graphicData>
            </a:graphic>
          </wp:inline>
        </w:drawing>
      </w:r>
    </w:p>
    <w:p w14:paraId="2791A3F7" w14:textId="77777777" w:rsidR="00770E2C" w:rsidRDefault="00770E2C" w:rsidP="00770E2C">
      <w:r>
        <w:t xml:space="preserve">ΠΗΓΗ: </w:t>
      </w:r>
      <w:hyperlink r:id="rId12" w:history="1">
        <w:r w:rsidRPr="00EC4D36">
          <w:rPr>
            <w:rStyle w:val="Hyperlink"/>
          </w:rPr>
          <w:t>https://www.taexeiola.gr/akropoli-mykhnwn/</w:t>
        </w:r>
      </w:hyperlink>
    </w:p>
    <w:p w14:paraId="194BFBFF" w14:textId="77777777" w:rsidR="00770E2C" w:rsidRPr="00894E88" w:rsidRDefault="00770E2C" w:rsidP="00770E2C">
      <w:r>
        <w:t>Η ΑΚΡΟΠΟΛΗ ΤΩΝ ΜΥΚΗΝΩΝ</w:t>
      </w:r>
      <w:r w:rsidRPr="00894E88">
        <w:t xml:space="preserve"> (</w:t>
      </w:r>
      <w:r>
        <w:t>προσομοίωση):</w:t>
      </w:r>
    </w:p>
    <w:p w14:paraId="130F2122" w14:textId="77777777" w:rsidR="00770E2C" w:rsidRDefault="00770E2C" w:rsidP="00770E2C">
      <w:pPr>
        <w:rPr>
          <w:rStyle w:val="Hyperlink"/>
        </w:rPr>
      </w:pPr>
      <w:hyperlink r:id="rId13" w:history="1">
        <w:r w:rsidRPr="003C3B52">
          <w:rPr>
            <w:rStyle w:val="Hyperlink"/>
            <w:lang w:val="en-US"/>
          </w:rPr>
          <w:t>https</w:t>
        </w:r>
        <w:r w:rsidRPr="00D4037F">
          <w:rPr>
            <w:rStyle w:val="Hyperlink"/>
          </w:rPr>
          <w:t>://</w:t>
        </w:r>
        <w:r w:rsidRPr="003C3B52">
          <w:rPr>
            <w:rStyle w:val="Hyperlink"/>
            <w:lang w:val="en-US"/>
          </w:rPr>
          <w:t>www</w:t>
        </w:r>
        <w:r w:rsidRPr="00D4037F">
          <w:rPr>
            <w:rStyle w:val="Hyperlink"/>
          </w:rPr>
          <w:t>.</w:t>
        </w:r>
        <w:r w:rsidRPr="003C3B52">
          <w:rPr>
            <w:rStyle w:val="Hyperlink"/>
            <w:lang w:val="en-US"/>
          </w:rPr>
          <w:t>youtube</w:t>
        </w:r>
        <w:r w:rsidRPr="00D4037F">
          <w:rPr>
            <w:rStyle w:val="Hyperlink"/>
          </w:rPr>
          <w:t>.</w:t>
        </w:r>
        <w:r w:rsidRPr="003C3B52">
          <w:rPr>
            <w:rStyle w:val="Hyperlink"/>
            <w:lang w:val="en-US"/>
          </w:rPr>
          <w:t>com</w:t>
        </w:r>
        <w:r w:rsidRPr="00D4037F">
          <w:rPr>
            <w:rStyle w:val="Hyperlink"/>
          </w:rPr>
          <w:t>/</w:t>
        </w:r>
        <w:r w:rsidRPr="003C3B52">
          <w:rPr>
            <w:rStyle w:val="Hyperlink"/>
            <w:lang w:val="en-US"/>
          </w:rPr>
          <w:t>watch</w:t>
        </w:r>
        <w:r w:rsidRPr="00D4037F">
          <w:rPr>
            <w:rStyle w:val="Hyperlink"/>
          </w:rPr>
          <w:t>?</w:t>
        </w:r>
        <w:r w:rsidRPr="003C3B52">
          <w:rPr>
            <w:rStyle w:val="Hyperlink"/>
            <w:lang w:val="en-US"/>
          </w:rPr>
          <w:t>v</w:t>
        </w:r>
        <w:r w:rsidRPr="00D4037F">
          <w:rPr>
            <w:rStyle w:val="Hyperlink"/>
          </w:rPr>
          <w:t>=</w:t>
        </w:r>
        <w:r w:rsidRPr="003C3B52">
          <w:rPr>
            <w:rStyle w:val="Hyperlink"/>
            <w:lang w:val="en-US"/>
          </w:rPr>
          <w:t>j</w:t>
        </w:r>
        <w:r w:rsidRPr="00D4037F">
          <w:rPr>
            <w:rStyle w:val="Hyperlink"/>
          </w:rPr>
          <w:t>6</w:t>
        </w:r>
        <w:r w:rsidRPr="003C3B52">
          <w:rPr>
            <w:rStyle w:val="Hyperlink"/>
            <w:lang w:val="en-US"/>
          </w:rPr>
          <w:t>TVQ</w:t>
        </w:r>
        <w:r w:rsidRPr="00D4037F">
          <w:rPr>
            <w:rStyle w:val="Hyperlink"/>
          </w:rPr>
          <w:t>9</w:t>
        </w:r>
        <w:r w:rsidRPr="003C3B52">
          <w:rPr>
            <w:rStyle w:val="Hyperlink"/>
            <w:lang w:val="en-US"/>
          </w:rPr>
          <w:t>vacRI</w:t>
        </w:r>
        <w:r w:rsidRPr="00D4037F">
          <w:rPr>
            <w:rStyle w:val="Hyperlink"/>
          </w:rPr>
          <w:t>&amp;</w:t>
        </w:r>
        <w:r w:rsidRPr="003C3B52">
          <w:rPr>
            <w:rStyle w:val="Hyperlink"/>
            <w:lang w:val="en-US"/>
          </w:rPr>
          <w:t>ab</w:t>
        </w:r>
        <w:r w:rsidRPr="00D4037F">
          <w:rPr>
            <w:rStyle w:val="Hyperlink"/>
          </w:rPr>
          <w:t>_</w:t>
        </w:r>
        <w:r w:rsidRPr="003C3B52">
          <w:rPr>
            <w:rStyle w:val="Hyperlink"/>
            <w:lang w:val="en-US"/>
          </w:rPr>
          <w:t>channel</w:t>
        </w:r>
        <w:r w:rsidRPr="00D4037F">
          <w:rPr>
            <w:rStyle w:val="Hyperlink"/>
          </w:rPr>
          <w:t>=%</w:t>
        </w:r>
        <w:r w:rsidRPr="003C3B52">
          <w:rPr>
            <w:rStyle w:val="Hyperlink"/>
            <w:lang w:val="en-US"/>
          </w:rPr>
          <w:t>CE</w:t>
        </w:r>
        <w:r w:rsidRPr="00D4037F">
          <w:rPr>
            <w:rStyle w:val="Hyperlink"/>
          </w:rPr>
          <w:t>%93%</w:t>
        </w:r>
        <w:r w:rsidRPr="003C3B52">
          <w:rPr>
            <w:rStyle w:val="Hyperlink"/>
            <w:lang w:val="en-US"/>
          </w:rPr>
          <w:t>CE</w:t>
        </w:r>
        <w:r w:rsidRPr="00D4037F">
          <w:rPr>
            <w:rStyle w:val="Hyperlink"/>
          </w:rPr>
          <w:t>%95%</w:t>
        </w:r>
        <w:r w:rsidRPr="003C3B52">
          <w:rPr>
            <w:rStyle w:val="Hyperlink"/>
            <w:lang w:val="en-US"/>
          </w:rPr>
          <w:t>CE</w:t>
        </w:r>
        <w:r w:rsidRPr="00D4037F">
          <w:rPr>
            <w:rStyle w:val="Hyperlink"/>
          </w:rPr>
          <w:t>%</w:t>
        </w:r>
        <w:r w:rsidRPr="003C3B52">
          <w:rPr>
            <w:rStyle w:val="Hyperlink"/>
            <w:lang w:val="en-US"/>
          </w:rPr>
          <w:t>A</w:t>
        </w:r>
        <w:r w:rsidRPr="00D4037F">
          <w:rPr>
            <w:rStyle w:val="Hyperlink"/>
          </w:rPr>
          <w:t>9%</w:t>
        </w:r>
        <w:r w:rsidRPr="003C3B52">
          <w:rPr>
            <w:rStyle w:val="Hyperlink"/>
            <w:lang w:val="en-US"/>
          </w:rPr>
          <w:t>CE</w:t>
        </w:r>
        <w:r w:rsidRPr="00D4037F">
          <w:rPr>
            <w:rStyle w:val="Hyperlink"/>
          </w:rPr>
          <w:t>%</w:t>
        </w:r>
        <w:r w:rsidRPr="003C3B52">
          <w:rPr>
            <w:rStyle w:val="Hyperlink"/>
            <w:lang w:val="en-US"/>
          </w:rPr>
          <w:t>A</w:t>
        </w:r>
        <w:r w:rsidRPr="00D4037F">
          <w:rPr>
            <w:rStyle w:val="Hyperlink"/>
          </w:rPr>
          <w:t>1%</w:t>
        </w:r>
        <w:r w:rsidRPr="003C3B52">
          <w:rPr>
            <w:rStyle w:val="Hyperlink"/>
            <w:lang w:val="en-US"/>
          </w:rPr>
          <w:t>CE</w:t>
        </w:r>
        <w:r w:rsidRPr="00D4037F">
          <w:rPr>
            <w:rStyle w:val="Hyperlink"/>
          </w:rPr>
          <w:t>%93%</w:t>
        </w:r>
        <w:r w:rsidRPr="003C3B52">
          <w:rPr>
            <w:rStyle w:val="Hyperlink"/>
            <w:lang w:val="en-US"/>
          </w:rPr>
          <w:t>CE</w:t>
        </w:r>
        <w:r w:rsidRPr="00D4037F">
          <w:rPr>
            <w:rStyle w:val="Hyperlink"/>
          </w:rPr>
          <w:t>%99%</w:t>
        </w:r>
        <w:r w:rsidRPr="003C3B52">
          <w:rPr>
            <w:rStyle w:val="Hyperlink"/>
            <w:lang w:val="en-US"/>
          </w:rPr>
          <w:t>CE</w:t>
        </w:r>
        <w:r w:rsidRPr="00D4037F">
          <w:rPr>
            <w:rStyle w:val="Hyperlink"/>
          </w:rPr>
          <w:t>%9</w:t>
        </w:r>
        <w:r w:rsidRPr="003C3B52">
          <w:rPr>
            <w:rStyle w:val="Hyperlink"/>
            <w:lang w:val="en-US"/>
          </w:rPr>
          <w:t>F</w:t>
        </w:r>
        <w:r w:rsidRPr="00D4037F">
          <w:rPr>
            <w:rStyle w:val="Hyperlink"/>
          </w:rPr>
          <w:t>%</w:t>
        </w:r>
        <w:r w:rsidRPr="003C3B52">
          <w:rPr>
            <w:rStyle w:val="Hyperlink"/>
            <w:lang w:val="en-US"/>
          </w:rPr>
          <w:t>CE</w:t>
        </w:r>
        <w:r w:rsidRPr="00D4037F">
          <w:rPr>
            <w:rStyle w:val="Hyperlink"/>
          </w:rPr>
          <w:t>%</w:t>
        </w:r>
        <w:r w:rsidRPr="003C3B52">
          <w:rPr>
            <w:rStyle w:val="Hyperlink"/>
            <w:lang w:val="en-US"/>
          </w:rPr>
          <w:t>A</w:t>
        </w:r>
        <w:r w:rsidRPr="00D4037F">
          <w:rPr>
            <w:rStyle w:val="Hyperlink"/>
          </w:rPr>
          <w:t>3%</w:t>
        </w:r>
        <w:r w:rsidRPr="003C3B52">
          <w:rPr>
            <w:rStyle w:val="Hyperlink"/>
            <w:lang w:val="en-US"/>
          </w:rPr>
          <w:t>CE</w:t>
        </w:r>
        <w:r w:rsidRPr="00D4037F">
          <w:rPr>
            <w:rStyle w:val="Hyperlink"/>
          </w:rPr>
          <w:t>%</w:t>
        </w:r>
        <w:r w:rsidRPr="003C3B52">
          <w:rPr>
            <w:rStyle w:val="Hyperlink"/>
            <w:lang w:val="en-US"/>
          </w:rPr>
          <w:t>A</w:t>
        </w:r>
        <w:r w:rsidRPr="00D4037F">
          <w:rPr>
            <w:rStyle w:val="Hyperlink"/>
          </w:rPr>
          <w:t>0%</w:t>
        </w:r>
        <w:r w:rsidRPr="003C3B52">
          <w:rPr>
            <w:rStyle w:val="Hyperlink"/>
            <w:lang w:val="en-US"/>
          </w:rPr>
          <w:t>CE</w:t>
        </w:r>
        <w:r w:rsidRPr="00D4037F">
          <w:rPr>
            <w:rStyle w:val="Hyperlink"/>
          </w:rPr>
          <w:t>%91%</w:t>
        </w:r>
        <w:r w:rsidRPr="003C3B52">
          <w:rPr>
            <w:rStyle w:val="Hyperlink"/>
            <w:lang w:val="en-US"/>
          </w:rPr>
          <w:t>CE</w:t>
        </w:r>
        <w:r w:rsidRPr="00D4037F">
          <w:rPr>
            <w:rStyle w:val="Hyperlink"/>
          </w:rPr>
          <w:t>%</w:t>
        </w:r>
        <w:r w:rsidRPr="003C3B52">
          <w:rPr>
            <w:rStyle w:val="Hyperlink"/>
            <w:lang w:val="en-US"/>
          </w:rPr>
          <w:t>A</w:t>
        </w:r>
        <w:r w:rsidRPr="00D4037F">
          <w:rPr>
            <w:rStyle w:val="Hyperlink"/>
          </w:rPr>
          <w:t>7%</w:t>
        </w:r>
        <w:r w:rsidRPr="003C3B52">
          <w:rPr>
            <w:rStyle w:val="Hyperlink"/>
            <w:lang w:val="en-US"/>
          </w:rPr>
          <w:t>CE</w:t>
        </w:r>
        <w:r w:rsidRPr="00D4037F">
          <w:rPr>
            <w:rStyle w:val="Hyperlink"/>
          </w:rPr>
          <w:t>%99%</w:t>
        </w:r>
        <w:r w:rsidRPr="003C3B52">
          <w:rPr>
            <w:rStyle w:val="Hyperlink"/>
            <w:lang w:val="en-US"/>
          </w:rPr>
          <w:t>CE</w:t>
        </w:r>
        <w:r w:rsidRPr="00D4037F">
          <w:rPr>
            <w:rStyle w:val="Hyperlink"/>
          </w:rPr>
          <w:t>%94%</w:t>
        </w:r>
        <w:r w:rsidRPr="003C3B52">
          <w:rPr>
            <w:rStyle w:val="Hyperlink"/>
            <w:lang w:val="en-US"/>
          </w:rPr>
          <w:t>CE</w:t>
        </w:r>
        <w:r w:rsidRPr="00D4037F">
          <w:rPr>
            <w:rStyle w:val="Hyperlink"/>
          </w:rPr>
          <w:t>%97%</w:t>
        </w:r>
        <w:r w:rsidRPr="003C3B52">
          <w:rPr>
            <w:rStyle w:val="Hyperlink"/>
            <w:lang w:val="en-US"/>
          </w:rPr>
          <w:t>CE</w:t>
        </w:r>
        <w:r w:rsidRPr="00D4037F">
          <w:rPr>
            <w:rStyle w:val="Hyperlink"/>
          </w:rPr>
          <w:t>%</w:t>
        </w:r>
        <w:r w:rsidRPr="003C3B52">
          <w:rPr>
            <w:rStyle w:val="Hyperlink"/>
            <w:lang w:val="en-US"/>
          </w:rPr>
          <w:t>A</w:t>
        </w:r>
        <w:r w:rsidRPr="00D4037F">
          <w:rPr>
            <w:rStyle w:val="Hyperlink"/>
          </w:rPr>
          <w:t>3</w:t>
        </w:r>
      </w:hyperlink>
    </w:p>
    <w:p w14:paraId="4676D15E" w14:textId="01D1B5B3" w:rsidR="00770E2C" w:rsidRDefault="00770E2C" w:rsidP="00770E2C"/>
    <w:p w14:paraId="320F99DC" w14:textId="3ADD9AE2" w:rsidR="009C5CC6" w:rsidRDefault="009C5CC6" w:rsidP="00770E2C">
      <w:r w:rsidRPr="009C5CC6">
        <w:lastRenderedPageBreak/>
        <w:drawing>
          <wp:inline distT="0" distB="0" distL="0" distR="0" wp14:anchorId="52A3F9EA" wp14:editId="7CEF7264">
            <wp:extent cx="6645910" cy="4989195"/>
            <wp:effectExtent l="0" t="0" r="2540" b="1905"/>
            <wp:docPr id="1351466853" name="Picture 4" descr="Θησαυρός του Ατρέ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Θησαυρός του Ατρέ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989195"/>
                    </a:xfrm>
                    <a:prstGeom prst="rect">
                      <a:avLst/>
                    </a:prstGeom>
                    <a:noFill/>
                    <a:ln>
                      <a:noFill/>
                    </a:ln>
                  </pic:spPr>
                </pic:pic>
              </a:graphicData>
            </a:graphic>
          </wp:inline>
        </w:drawing>
      </w:r>
    </w:p>
    <w:p w14:paraId="574AEFF1" w14:textId="72703BB9" w:rsidR="00770E2C" w:rsidRPr="00C45977" w:rsidRDefault="009C5CC6" w:rsidP="00C45977">
      <w:pPr>
        <w:rPr>
          <w:rFonts w:ascii="Calibri" w:eastAsia="Calibri" w:hAnsi="Calibri" w:cs="Tahoma"/>
          <w:color w:val="333333"/>
          <w:sz w:val="24"/>
          <w:szCs w:val="24"/>
          <w:shd w:val="clear" w:color="auto" w:fill="FFFFFF"/>
        </w:rPr>
      </w:pPr>
      <w:r w:rsidRPr="009C5CC6">
        <w:rPr>
          <w:rFonts w:ascii="Calibri" w:eastAsia="Calibri" w:hAnsi="Calibri" w:cs="Tahoma"/>
          <w:b/>
          <w:bCs/>
          <w:color w:val="333333"/>
          <w:sz w:val="24"/>
          <w:szCs w:val="24"/>
          <w:shd w:val="clear" w:color="auto" w:fill="FFFFFF"/>
        </w:rPr>
        <w:t>Ο «Θησαυρός του Ατρέα».</w:t>
      </w:r>
      <w:r w:rsidRPr="009C5CC6">
        <w:rPr>
          <w:rFonts w:ascii="Calibri" w:eastAsia="Calibri" w:hAnsi="Calibri" w:cs="Tahoma"/>
          <w:color w:val="333333"/>
          <w:sz w:val="24"/>
          <w:szCs w:val="24"/>
          <w:shd w:val="clear" w:color="auto" w:fill="FFFFFF"/>
        </w:rPr>
        <w:t>Το εντυπωσιακότερο οικοδόμημα μνημειακής αρχιτεκτονικής του μυκηναϊκού κόσμου.Ένας δρόμος μήκους 35 μέτρων οδηγεί στην κύρια είσοδο η οποία στέφεται από ένα «</w:t>
      </w:r>
      <w:hyperlink r:id="rId15" w:tooltip="&lt;b&gt;Ανακουφιστικό τρίγωνο&lt;/b&gt;|Αρχιτεκτονικός όρος. Ονομάζεται το τρίγωνο το οποίο σχηματίζεται από τα ανοίγματα θυρών και παραθύρων όταν το υπέρθυρο δε θεωρείται αρκετά στερεό για να βαστάζει μόνο του το υπερκείμενο βάρος." w:history="1">
        <w:r w:rsidRPr="009C5CC6">
          <w:rPr>
            <w:rStyle w:val="Hyperlink"/>
            <w:rFonts w:ascii="Calibri" w:eastAsia="Calibri" w:hAnsi="Calibri" w:cs="Tahoma"/>
            <w:sz w:val="24"/>
            <w:szCs w:val="24"/>
            <w:shd w:val="clear" w:color="auto" w:fill="FFFFFF"/>
          </w:rPr>
          <w:t>ανακουφιστικό</w:t>
        </w:r>
      </w:hyperlink>
      <w:r w:rsidRPr="009C5CC6">
        <w:rPr>
          <w:rFonts w:ascii="Calibri" w:eastAsia="Calibri" w:hAnsi="Calibri" w:cs="Tahoma"/>
          <w:color w:val="333333"/>
          <w:sz w:val="24"/>
          <w:szCs w:val="24"/>
          <w:shd w:val="clear" w:color="auto" w:fill="FFFFFF"/>
        </w:rPr>
        <w:t>» τρίγωνο που καλυπτόταν από λίθινη επένδυση.</w:t>
      </w:r>
    </w:p>
    <w:p w14:paraId="70E3E6DC" w14:textId="77777777" w:rsidR="00C45977" w:rsidRDefault="00C57E67" w:rsidP="002D3565">
      <w:pPr>
        <w:jc w:val="center"/>
        <w:rPr>
          <w:rFonts w:ascii="Calibri" w:eastAsia="Calibri" w:hAnsi="Calibri" w:cs="Tahoma"/>
          <w:color w:val="333333"/>
          <w:sz w:val="24"/>
          <w:szCs w:val="24"/>
          <w:shd w:val="clear" w:color="auto" w:fill="FFFFFF"/>
        </w:rPr>
      </w:pPr>
      <w:r>
        <w:rPr>
          <w:noProof/>
          <w:lang w:eastAsia="el-GR"/>
        </w:rPr>
        <w:drawing>
          <wp:inline distT="0" distB="0" distL="0" distR="0" wp14:anchorId="17AD0DDF" wp14:editId="64F9EC2A">
            <wp:extent cx="5271770" cy="3299460"/>
            <wp:effectExtent l="0" t="0" r="5080" b="0"/>
            <wp:docPr id="5" name="Εικόνα 5" descr="Ο θολωτός τάφος ‘του Ατρέα’ στις Μυκήνες&#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θολωτός τάφος ‘του Ατρέα’ στις Μυκήνες&#10;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301050"/>
                    </a:xfrm>
                    <a:prstGeom prst="rect">
                      <a:avLst/>
                    </a:prstGeom>
                    <a:noFill/>
                    <a:ln>
                      <a:noFill/>
                    </a:ln>
                  </pic:spPr>
                </pic:pic>
              </a:graphicData>
            </a:graphic>
          </wp:inline>
        </w:drawing>
      </w:r>
    </w:p>
    <w:p w14:paraId="721C7EDA" w14:textId="77777777" w:rsidR="00C57E67" w:rsidRPr="00425222" w:rsidRDefault="00C57E67" w:rsidP="00C57E67">
      <w:pPr>
        <w:ind w:firstLine="720"/>
        <w:jc w:val="both"/>
        <w:rPr>
          <w:sz w:val="24"/>
          <w:szCs w:val="24"/>
        </w:rPr>
      </w:pPr>
      <w:r w:rsidRPr="00425222">
        <w:rPr>
          <w:sz w:val="24"/>
          <w:szCs w:val="24"/>
        </w:rPr>
        <w:lastRenderedPageBreak/>
        <w:t xml:space="preserve">ΠΗΓΗ: </w:t>
      </w:r>
      <w:hyperlink r:id="rId17" w:history="1">
        <w:r w:rsidRPr="00425222">
          <w:rPr>
            <w:rStyle w:val="Hyperlink"/>
            <w:sz w:val="24"/>
            <w:szCs w:val="24"/>
          </w:rPr>
          <w:t>https://www.slideshare.net/irinikel/ss-41089517</w:t>
        </w:r>
      </w:hyperlink>
    </w:p>
    <w:p w14:paraId="4A3B77FE" w14:textId="77777777" w:rsidR="00C57E67" w:rsidRDefault="00C57E67" w:rsidP="00C57E67"/>
    <w:p w14:paraId="66771C6B" w14:textId="77777777" w:rsidR="00C57E67" w:rsidRDefault="00C57E67" w:rsidP="00C57E67">
      <w:r>
        <w:t>ΣΥΛΛΟΓΗ ΜΥΚΗΝΑΪΚΩΝ ΑΡΧΑΙΟΤΗΤΩΝ ΕΘΝΙΚΟΥ ΑΡΧΑΙΟΛΟΓΙΚΟΥ ΜΟΥΣΕΙΟΥ:</w:t>
      </w:r>
    </w:p>
    <w:p w14:paraId="028A2A36" w14:textId="77777777" w:rsidR="00C57E67" w:rsidRDefault="00C57E67" w:rsidP="00C57E67">
      <w:pPr>
        <w:rPr>
          <w:rStyle w:val="Hyperlink"/>
        </w:rPr>
      </w:pPr>
      <w:hyperlink r:id="rId18" w:history="1">
        <w:r w:rsidRPr="00C5643A">
          <w:rPr>
            <w:rStyle w:val="Hyperlink"/>
          </w:rPr>
          <w:t>https://www.namuseum.gr/collection/syllogi-mykinaikon-archaiotiton/</w:t>
        </w:r>
      </w:hyperlink>
    </w:p>
    <w:p w14:paraId="09821E55" w14:textId="77777777" w:rsidR="00C45977" w:rsidRPr="00C45977" w:rsidRDefault="00C45977" w:rsidP="00C45977">
      <w:pPr>
        <w:rPr>
          <w:rFonts w:ascii="Calibri" w:eastAsia="Calibri" w:hAnsi="Calibri" w:cs="Tahoma"/>
          <w:color w:val="333333"/>
          <w:sz w:val="24"/>
          <w:szCs w:val="24"/>
          <w:shd w:val="clear" w:color="auto" w:fill="FFFFFF"/>
        </w:rPr>
      </w:pPr>
    </w:p>
    <w:p w14:paraId="5FD245A5" w14:textId="77777777" w:rsidR="00C45977" w:rsidRPr="00C45977" w:rsidRDefault="00C45977" w:rsidP="00C45977">
      <w:pPr>
        <w:rPr>
          <w:rFonts w:ascii="Calibri" w:eastAsia="Calibri" w:hAnsi="Calibri" w:cs="Tahoma"/>
          <w:color w:val="333333"/>
          <w:sz w:val="24"/>
          <w:szCs w:val="24"/>
          <w:shd w:val="clear" w:color="auto" w:fill="FFFFFF"/>
        </w:rPr>
      </w:pPr>
    </w:p>
    <w:p w14:paraId="20C6C691" w14:textId="77777777" w:rsidR="00C45977" w:rsidRPr="00C45977" w:rsidRDefault="00C45977" w:rsidP="00C45977">
      <w:pPr>
        <w:rPr>
          <w:rFonts w:ascii="Calibri" w:eastAsia="Calibri" w:hAnsi="Calibri" w:cs="Tahoma"/>
          <w:color w:val="333333"/>
          <w:sz w:val="24"/>
          <w:szCs w:val="24"/>
          <w:shd w:val="clear" w:color="auto" w:fill="FFFFFF"/>
        </w:rPr>
      </w:pPr>
    </w:p>
    <w:p w14:paraId="04BC67FE" w14:textId="68171D3F" w:rsidR="00C45977" w:rsidRPr="00C45977" w:rsidRDefault="00E779C0" w:rsidP="00E779C0">
      <w:pPr>
        <w:jc w:val="center"/>
        <w:rPr>
          <w:rFonts w:ascii="Calibri" w:eastAsia="Calibri" w:hAnsi="Calibri" w:cs="Tahoma"/>
          <w:color w:val="333333"/>
          <w:sz w:val="24"/>
          <w:szCs w:val="24"/>
          <w:shd w:val="clear" w:color="auto" w:fill="FFFFFF"/>
        </w:rPr>
      </w:pPr>
      <w:r w:rsidRPr="00E779C0">
        <w:rPr>
          <w:rFonts w:ascii="Calibri" w:eastAsia="Calibri" w:hAnsi="Calibri" w:cs="Tahoma"/>
          <w:color w:val="333333"/>
          <w:sz w:val="24"/>
          <w:szCs w:val="24"/>
          <w:shd w:val="clear" w:color="auto" w:fill="FFFFFF"/>
        </w:rPr>
        <w:drawing>
          <wp:inline distT="0" distB="0" distL="0" distR="0" wp14:anchorId="1540B99C" wp14:editId="2D633C9F">
            <wp:extent cx="4922520" cy="4739640"/>
            <wp:effectExtent l="0" t="0" r="0" b="3810"/>
            <wp:docPr id="289766324" name="Picture 2" descr="A gold mask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66324" name="Picture 2" descr="A gold mask with a black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2520" cy="4739640"/>
                    </a:xfrm>
                    <a:prstGeom prst="rect">
                      <a:avLst/>
                    </a:prstGeom>
                    <a:noFill/>
                    <a:ln>
                      <a:noFill/>
                    </a:ln>
                  </pic:spPr>
                </pic:pic>
              </a:graphicData>
            </a:graphic>
          </wp:inline>
        </w:drawing>
      </w:r>
    </w:p>
    <w:p w14:paraId="4AEE4168" w14:textId="5EA6E361" w:rsidR="00C45977" w:rsidRDefault="00E779C0" w:rsidP="00C45977">
      <w:pPr>
        <w:rPr>
          <w:rFonts w:ascii="Calibri" w:eastAsia="Calibri" w:hAnsi="Calibri" w:cs="Tahoma"/>
          <w:color w:val="333333"/>
          <w:sz w:val="24"/>
          <w:szCs w:val="24"/>
          <w:shd w:val="clear" w:color="auto" w:fill="FFFFFF"/>
        </w:rPr>
      </w:pPr>
      <w:r w:rsidRPr="00E779C0">
        <w:rPr>
          <w:rFonts w:ascii="Calibri" w:eastAsia="Calibri" w:hAnsi="Calibri" w:cs="Tahoma"/>
          <w:color w:val="333333"/>
          <w:sz w:val="24"/>
          <w:szCs w:val="24"/>
          <w:shd w:val="clear" w:color="auto" w:fill="FFFFFF"/>
        </w:rPr>
        <w:t>Χρυσή προσωπίδα από τους λακκοειδείς τάφους των Μυκηνών (1550-1500 π.Χ.).Παλαιότερα είχε θεωρηθεί ότι ανήκε στον Αγαμέμνονα, βασιλιά των Μυκηνών. Όμως, χρονολογείται πολύ πριν από την εποχή που έγινε ο Τρωικός Πόλεμος.</w:t>
      </w:r>
      <w:r>
        <w:rPr>
          <w:rFonts w:ascii="Calibri" w:eastAsia="Calibri" w:hAnsi="Calibri" w:cs="Tahoma"/>
          <w:color w:val="333333"/>
          <w:sz w:val="24"/>
          <w:szCs w:val="24"/>
          <w:shd w:val="clear" w:color="auto" w:fill="FFFFFF"/>
        </w:rPr>
        <w:t xml:space="preserve"> </w:t>
      </w:r>
      <w:r w:rsidRPr="00E779C0">
        <w:rPr>
          <w:rFonts w:ascii="Calibri" w:eastAsia="Calibri" w:hAnsi="Calibri" w:cs="Tahoma"/>
          <w:color w:val="333333"/>
          <w:sz w:val="24"/>
          <w:szCs w:val="24"/>
          <w:shd w:val="clear" w:color="auto" w:fill="FFFFFF"/>
        </w:rPr>
        <w:t>(Αθήνα, Εθνικό Αρχαιολογικό Μουσείο)</w:t>
      </w:r>
    </w:p>
    <w:p w14:paraId="69A0C788" w14:textId="77777777" w:rsidR="009C5CC6" w:rsidRDefault="009C5CC6" w:rsidP="00C45977">
      <w:pPr>
        <w:rPr>
          <w:rFonts w:ascii="Calibri" w:eastAsia="Calibri" w:hAnsi="Calibri" w:cs="Tahoma"/>
          <w:color w:val="333333"/>
          <w:sz w:val="24"/>
          <w:szCs w:val="24"/>
          <w:shd w:val="clear" w:color="auto" w:fill="FFFFFF"/>
        </w:rPr>
      </w:pPr>
    </w:p>
    <w:p w14:paraId="032B4CDE" w14:textId="77777777" w:rsidR="009C5CC6" w:rsidRDefault="009C5CC6" w:rsidP="00C45977">
      <w:pPr>
        <w:rPr>
          <w:rFonts w:ascii="Calibri" w:eastAsia="Calibri" w:hAnsi="Calibri" w:cs="Tahoma"/>
          <w:color w:val="333333"/>
          <w:sz w:val="24"/>
          <w:szCs w:val="24"/>
          <w:shd w:val="clear" w:color="auto" w:fill="FFFFFF"/>
        </w:rPr>
      </w:pPr>
    </w:p>
    <w:p w14:paraId="77A38ACB" w14:textId="59BA85AA" w:rsidR="009C5CC6" w:rsidRDefault="009C5CC6" w:rsidP="00C45977">
      <w:pPr>
        <w:rPr>
          <w:rFonts w:ascii="Calibri" w:eastAsia="Calibri" w:hAnsi="Calibri" w:cs="Tahoma"/>
          <w:color w:val="333333"/>
          <w:sz w:val="24"/>
          <w:szCs w:val="24"/>
          <w:shd w:val="clear" w:color="auto" w:fill="FFFFFF"/>
        </w:rPr>
      </w:pPr>
      <w:r w:rsidRPr="009C5CC6">
        <w:rPr>
          <w:rFonts w:ascii="Calibri" w:eastAsia="Calibri" w:hAnsi="Calibri" w:cs="Tahoma"/>
          <w:color w:val="333333"/>
          <w:sz w:val="24"/>
          <w:szCs w:val="24"/>
          <w:shd w:val="clear" w:color="auto" w:fill="FFFFFF"/>
        </w:rPr>
        <w:lastRenderedPageBreak/>
        <w:drawing>
          <wp:inline distT="0" distB="0" distL="0" distR="0" wp14:anchorId="6DEA6C65" wp14:editId="6B93A3A9">
            <wp:extent cx="6645910" cy="4037965"/>
            <wp:effectExtent l="0" t="0" r="2540" b="635"/>
            <wp:docPr id="643925188" name="Picture 3" descr="A gold cup with a picture of a 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25188" name="Picture 3" descr="A gold cup with a picture of a de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037965"/>
                    </a:xfrm>
                    <a:prstGeom prst="rect">
                      <a:avLst/>
                    </a:prstGeom>
                    <a:noFill/>
                    <a:ln>
                      <a:noFill/>
                    </a:ln>
                  </pic:spPr>
                </pic:pic>
              </a:graphicData>
            </a:graphic>
          </wp:inline>
        </w:drawing>
      </w:r>
    </w:p>
    <w:p w14:paraId="3B1427CC" w14:textId="1AD894D0" w:rsidR="009C5CC6" w:rsidRPr="00C45977" w:rsidRDefault="009C5CC6" w:rsidP="009C5CC6">
      <w:pPr>
        <w:rPr>
          <w:rFonts w:ascii="Calibri" w:eastAsia="Calibri" w:hAnsi="Calibri" w:cs="Tahoma"/>
          <w:color w:val="333333"/>
          <w:sz w:val="24"/>
          <w:szCs w:val="24"/>
          <w:shd w:val="clear" w:color="auto" w:fill="FFFFFF"/>
        </w:rPr>
      </w:pPr>
      <w:r w:rsidRPr="009C5CC6">
        <w:rPr>
          <w:rFonts w:ascii="Calibri" w:eastAsia="Calibri" w:hAnsi="Calibri" w:cs="Tahoma"/>
          <w:color w:val="333333"/>
          <w:sz w:val="24"/>
          <w:szCs w:val="24"/>
          <w:shd w:val="clear" w:color="auto" w:fill="FFFFFF"/>
        </w:rPr>
        <w:t>Τα χρυσά κύπελλα του Βαφειού (15ος αιώνας π.Χ.). Βρέθηκαν στον θολωτό τάφο του Βαφειού, στη Λακωνία. Διακοσμούνταν με ανάγλυφες σκηνές εξημέρωσης ταύρων μέσα σε φυσικό τοπίο και μάλλον είναι έργα τεχνιτών από την Κρήτη.</w:t>
      </w:r>
      <w:r>
        <w:rPr>
          <w:rFonts w:ascii="Calibri" w:eastAsia="Calibri" w:hAnsi="Calibri" w:cs="Tahoma"/>
          <w:color w:val="333333"/>
          <w:sz w:val="24"/>
          <w:szCs w:val="24"/>
          <w:shd w:val="clear" w:color="auto" w:fill="FFFFFF"/>
        </w:rPr>
        <w:t xml:space="preserve"> </w:t>
      </w:r>
      <w:r w:rsidRPr="009C5CC6">
        <w:rPr>
          <w:rFonts w:ascii="Calibri" w:eastAsia="Calibri" w:hAnsi="Calibri" w:cs="Tahoma"/>
          <w:color w:val="333333"/>
          <w:sz w:val="24"/>
          <w:szCs w:val="24"/>
          <w:shd w:val="clear" w:color="auto" w:fill="FFFFFF"/>
        </w:rPr>
        <w:t>(Αθήνα, Εθνικό Αρχαιολογικό Μουσείο)</w:t>
      </w:r>
    </w:p>
    <w:p w14:paraId="31500D39" w14:textId="77777777" w:rsidR="00C45977" w:rsidRPr="00C45977" w:rsidRDefault="00C45977" w:rsidP="00C45977">
      <w:pPr>
        <w:rPr>
          <w:rFonts w:ascii="Calibri" w:eastAsia="Calibri" w:hAnsi="Calibri" w:cs="Tahoma"/>
          <w:color w:val="333333"/>
          <w:sz w:val="24"/>
          <w:szCs w:val="24"/>
          <w:shd w:val="clear" w:color="auto" w:fill="FFFFFF"/>
        </w:rPr>
      </w:pPr>
    </w:p>
    <w:p w14:paraId="67180066" w14:textId="77777777" w:rsidR="00C45977" w:rsidRPr="00C45977" w:rsidRDefault="00C45977" w:rsidP="00C45977">
      <w:pPr>
        <w:rPr>
          <w:rFonts w:ascii="Calibri" w:eastAsia="Calibri" w:hAnsi="Calibri" w:cs="Tahoma"/>
          <w:color w:val="333333"/>
          <w:sz w:val="24"/>
          <w:szCs w:val="24"/>
          <w:shd w:val="clear" w:color="auto" w:fill="FFFFFF"/>
        </w:rPr>
      </w:pPr>
    </w:p>
    <w:p w14:paraId="1ED427D7" w14:textId="77777777" w:rsidR="00204171" w:rsidRDefault="00204171"/>
    <w:sectPr w:rsidR="00204171" w:rsidSect="00161A33">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CFED6" w14:textId="77777777" w:rsidR="003D0E94" w:rsidRDefault="003D0E94" w:rsidP="00770E2C">
      <w:pPr>
        <w:spacing w:after="0" w:line="240" w:lineRule="auto"/>
      </w:pPr>
      <w:r>
        <w:separator/>
      </w:r>
    </w:p>
  </w:endnote>
  <w:endnote w:type="continuationSeparator" w:id="0">
    <w:p w14:paraId="4E65916F" w14:textId="77777777" w:rsidR="003D0E94" w:rsidRDefault="003D0E94" w:rsidP="00770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212690"/>
      <w:docPartObj>
        <w:docPartGallery w:val="Page Numbers (Bottom of Page)"/>
        <w:docPartUnique/>
      </w:docPartObj>
    </w:sdtPr>
    <w:sdtContent>
      <w:p w14:paraId="7F3F29AB" w14:textId="77777777" w:rsidR="00770E2C" w:rsidRDefault="00770E2C">
        <w:pPr>
          <w:pStyle w:val="Footer"/>
          <w:jc w:val="center"/>
        </w:pPr>
        <w:r>
          <w:fldChar w:fldCharType="begin"/>
        </w:r>
        <w:r>
          <w:instrText>PAGE   \* MERGEFORMAT</w:instrText>
        </w:r>
        <w:r>
          <w:fldChar w:fldCharType="separate"/>
        </w:r>
        <w:r w:rsidR="00C57E67">
          <w:rPr>
            <w:noProof/>
          </w:rPr>
          <w:t>1</w:t>
        </w:r>
        <w:r>
          <w:fldChar w:fldCharType="end"/>
        </w:r>
      </w:p>
    </w:sdtContent>
  </w:sdt>
  <w:p w14:paraId="352E84E0" w14:textId="77777777" w:rsidR="00770E2C" w:rsidRDefault="00770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6B91E" w14:textId="77777777" w:rsidR="003D0E94" w:rsidRDefault="003D0E94" w:rsidP="00770E2C">
      <w:pPr>
        <w:spacing w:after="0" w:line="240" w:lineRule="auto"/>
      </w:pPr>
      <w:r>
        <w:separator/>
      </w:r>
    </w:p>
  </w:footnote>
  <w:footnote w:type="continuationSeparator" w:id="0">
    <w:p w14:paraId="0AC3DD06" w14:textId="77777777" w:rsidR="003D0E94" w:rsidRDefault="003D0E94" w:rsidP="00770E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A75"/>
    <w:rsid w:val="000310BF"/>
    <w:rsid w:val="000344AC"/>
    <w:rsid w:val="000F4505"/>
    <w:rsid w:val="00161A33"/>
    <w:rsid w:val="00204171"/>
    <w:rsid w:val="002D3565"/>
    <w:rsid w:val="003D0E94"/>
    <w:rsid w:val="004211F6"/>
    <w:rsid w:val="0046435B"/>
    <w:rsid w:val="005905E7"/>
    <w:rsid w:val="005A6CD8"/>
    <w:rsid w:val="005E3954"/>
    <w:rsid w:val="00764001"/>
    <w:rsid w:val="00770E2C"/>
    <w:rsid w:val="00925EF1"/>
    <w:rsid w:val="009C5CC6"/>
    <w:rsid w:val="00C14A75"/>
    <w:rsid w:val="00C45977"/>
    <w:rsid w:val="00C57E67"/>
    <w:rsid w:val="00E779C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AD086"/>
  <w15:docId w15:val="{AD3FEADF-7982-4AB6-8614-2FC2E58A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E2C"/>
    <w:rPr>
      <w:rFonts w:ascii="Tahoma" w:hAnsi="Tahoma" w:cs="Tahoma"/>
      <w:sz w:val="16"/>
      <w:szCs w:val="16"/>
    </w:rPr>
  </w:style>
  <w:style w:type="character" w:styleId="Hyperlink">
    <w:name w:val="Hyperlink"/>
    <w:basedOn w:val="DefaultParagraphFont"/>
    <w:uiPriority w:val="99"/>
    <w:unhideWhenUsed/>
    <w:rsid w:val="00770E2C"/>
    <w:rPr>
      <w:color w:val="0000FF" w:themeColor="hyperlink"/>
      <w:u w:val="single"/>
    </w:rPr>
  </w:style>
  <w:style w:type="paragraph" w:styleId="Header">
    <w:name w:val="header"/>
    <w:basedOn w:val="Normal"/>
    <w:link w:val="HeaderChar"/>
    <w:uiPriority w:val="99"/>
    <w:unhideWhenUsed/>
    <w:rsid w:val="00770E2C"/>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0E2C"/>
  </w:style>
  <w:style w:type="paragraph" w:styleId="Footer">
    <w:name w:val="footer"/>
    <w:basedOn w:val="Normal"/>
    <w:link w:val="FooterChar"/>
    <w:uiPriority w:val="99"/>
    <w:unhideWhenUsed/>
    <w:rsid w:val="00770E2C"/>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0E2C"/>
  </w:style>
  <w:style w:type="character" w:styleId="UnresolvedMention">
    <w:name w:val="Unresolved Mention"/>
    <w:basedOn w:val="DefaultParagraphFont"/>
    <w:uiPriority w:val="99"/>
    <w:semiHidden/>
    <w:unhideWhenUsed/>
    <w:rsid w:val="009C5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12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j6TVQ9vacRI&amp;ab_channel=%CE%93%CE%95%CE%A9%CE%A1%CE%93%CE%99%CE%9F%CE%A3%CE%A0%CE%91%CE%A7%CE%99%CE%94%CE%97%CE%A3" TargetMode="External"/><Relationship Id="rId18" Type="http://schemas.openxmlformats.org/officeDocument/2006/relationships/hyperlink" Target="https://www.namuseum.gr/collection/syllogi-mykinaikon-archaiotiton/"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slideshare.net/irinikel/ss-41089517" TargetMode="External"/><Relationship Id="rId12" Type="http://schemas.openxmlformats.org/officeDocument/2006/relationships/hyperlink" Target="https://www.taexeiola.gr/akropoli-mykhnwn/" TargetMode="External"/><Relationship Id="rId17" Type="http://schemas.openxmlformats.org/officeDocument/2006/relationships/hyperlink" Target="https://www.slideshare.net/irinikel/ss-41089517"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javascrip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s://www.slideshare.net/irinikel/ss-41089517"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734</Words>
  <Characters>3965</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mv73gt@hotmail.com</dc:creator>
  <cp:keywords/>
  <dc:description/>
  <cp:lastModifiedBy>Δημητριος Βορρης</cp:lastModifiedBy>
  <cp:revision>12</cp:revision>
  <dcterms:created xsi:type="dcterms:W3CDTF">2018-01-17T19:19:00Z</dcterms:created>
  <dcterms:modified xsi:type="dcterms:W3CDTF">2024-10-10T13:45:00Z</dcterms:modified>
</cp:coreProperties>
</file>