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2ABC1" w14:textId="518752E6" w:rsidR="00D115C9" w:rsidRPr="00D115C9" w:rsidRDefault="00D115C9" w:rsidP="00D115C9">
      <w:pPr>
        <w:ind w:left="-567" w:right="-766"/>
        <w:jc w:val="both"/>
        <w:rPr>
          <w:b/>
          <w:bCs/>
        </w:rPr>
      </w:pPr>
      <w:r w:rsidRPr="00D115C9">
        <w:rPr>
          <w:b/>
          <w:bCs/>
        </w:rPr>
        <w:t xml:space="preserve">Τι ισχύει για την διαδικασία αξιολόγησης των μαθητών Γυμνασίου στο </w:t>
      </w:r>
      <w:r w:rsidRPr="00D115C9">
        <w:rPr>
          <w:b/>
          <w:bCs/>
        </w:rPr>
        <w:t>Α τετράμηνο</w:t>
      </w:r>
    </w:p>
    <w:p w14:paraId="3253F690" w14:textId="77777777" w:rsidR="00D115C9" w:rsidRPr="00D115C9" w:rsidRDefault="00D115C9" w:rsidP="00D115C9">
      <w:pPr>
        <w:ind w:left="-567" w:right="-766"/>
        <w:jc w:val="both"/>
      </w:pPr>
      <w:r w:rsidRPr="00D115C9">
        <w:t>Το πρώτο τετράμηνο στις σχολικές μονάδες Δευτεροβάθμιας Εκπαίδευσης (Γυμνάσια και Λύκεια) ολοκληρώνεται στις</w:t>
      </w:r>
      <w:r w:rsidRPr="00D115C9">
        <w:rPr>
          <w:b/>
          <w:bCs/>
        </w:rPr>
        <w:t> 20 Ιανουαρίου.</w:t>
      </w:r>
    </w:p>
    <w:p w14:paraId="5A26B7EB" w14:textId="77777777" w:rsidR="00D115C9" w:rsidRPr="00D115C9" w:rsidRDefault="00D115C9" w:rsidP="00D115C9">
      <w:pPr>
        <w:spacing w:after="0"/>
        <w:ind w:left="-567" w:right="-766"/>
        <w:jc w:val="both"/>
        <w:rPr>
          <w:b/>
          <w:bCs/>
        </w:rPr>
      </w:pPr>
      <w:r w:rsidRPr="00D115C9">
        <w:rPr>
          <w:b/>
          <w:bCs/>
        </w:rPr>
        <w:t>Γυμνάσια</w:t>
      </w:r>
    </w:p>
    <w:p w14:paraId="1A6AA8C3" w14:textId="77777777" w:rsidR="00D115C9" w:rsidRPr="00D115C9" w:rsidRDefault="00D115C9" w:rsidP="00D115C9">
      <w:pPr>
        <w:spacing w:after="0"/>
        <w:ind w:left="-567" w:right="-766"/>
        <w:jc w:val="both"/>
      </w:pPr>
      <w:r w:rsidRPr="00D115C9">
        <w:t>Στο άρθρο 26 του νέου νόμου 4823/2021 καθορίζονται ορισμένες αλλαγές στην αξιολόγηση της επίδοσης των μαθητών του Γυμνασίου</w:t>
      </w:r>
    </w:p>
    <w:p w14:paraId="08D8F405" w14:textId="77777777" w:rsidR="00D115C9" w:rsidRPr="00D115C9" w:rsidRDefault="00D115C9" w:rsidP="00D115C9">
      <w:pPr>
        <w:spacing w:after="120"/>
        <w:ind w:left="-567" w:right="-766"/>
        <w:jc w:val="both"/>
      </w:pPr>
      <w:r w:rsidRPr="00D115C9">
        <w:t xml:space="preserve">Το άρθρο 3 του </w:t>
      </w:r>
      <w:proofErr w:type="spellStart"/>
      <w:r w:rsidRPr="00D115C9">
        <w:t>π.δ.</w:t>
      </w:r>
      <w:proofErr w:type="spellEnd"/>
      <w:r w:rsidRPr="00D115C9">
        <w:t xml:space="preserve"> 126/2016, περί της αξιολόγησης της </w:t>
      </w:r>
      <w:r w:rsidRPr="00D115C9">
        <w:rPr>
          <w:b/>
          <w:bCs/>
        </w:rPr>
        <w:t>επίδοσης των μαθητών του Γυμνασίου</w:t>
      </w:r>
      <w:r w:rsidRPr="00D115C9">
        <w:t>, αντικαθίσταται ως εξής:</w:t>
      </w:r>
    </w:p>
    <w:p w14:paraId="0616199E" w14:textId="7B0ADF82" w:rsidR="00D115C9" w:rsidRPr="00D115C9" w:rsidRDefault="00D115C9" w:rsidP="00D115C9">
      <w:pPr>
        <w:spacing w:after="0"/>
        <w:ind w:left="-567" w:right="-766"/>
        <w:jc w:val="both"/>
        <w:rPr>
          <w:b/>
          <w:bCs/>
        </w:rPr>
      </w:pPr>
      <w:r>
        <w:rPr>
          <w:b/>
          <w:bCs/>
        </w:rPr>
        <w:t>«</w:t>
      </w:r>
      <w:r w:rsidRPr="00D115C9">
        <w:rPr>
          <w:b/>
          <w:bCs/>
        </w:rPr>
        <w:t>Άρθρο 3</w:t>
      </w:r>
    </w:p>
    <w:p w14:paraId="18E185E9" w14:textId="77777777" w:rsidR="00D115C9" w:rsidRPr="00D115C9" w:rsidRDefault="00D115C9" w:rsidP="00D115C9">
      <w:pPr>
        <w:ind w:left="-567" w:right="-766"/>
        <w:jc w:val="both"/>
      </w:pPr>
      <w:r w:rsidRPr="00D115C9">
        <w:rPr>
          <w:b/>
          <w:bCs/>
        </w:rPr>
        <w:t>Διαδικασία αξιολόγησης</w:t>
      </w:r>
    </w:p>
    <w:p w14:paraId="1EDB0860" w14:textId="77777777" w:rsidR="00D115C9" w:rsidRPr="00D115C9" w:rsidRDefault="00D115C9" w:rsidP="00D115C9">
      <w:pPr>
        <w:ind w:left="-567" w:right="-766"/>
        <w:jc w:val="both"/>
      </w:pPr>
      <w:r w:rsidRPr="00D115C9">
        <w:t>Η διαδικασία αξιολόγησης της επίδοσης του μαθητή ορίζεται ως εξής:</w:t>
      </w:r>
    </w:p>
    <w:p w14:paraId="53DCFE5A" w14:textId="77777777" w:rsidR="00D115C9" w:rsidRPr="00D115C9" w:rsidRDefault="00D115C9" w:rsidP="00D115C9">
      <w:pPr>
        <w:ind w:left="-567" w:right="-766"/>
        <w:jc w:val="both"/>
      </w:pPr>
      <w:r w:rsidRPr="00D115C9">
        <w:t>1. Για την αξιολόγηση της επίδοσης του μαθητή </w:t>
      </w:r>
      <w:r w:rsidRPr="00D115C9">
        <w:rPr>
          <w:b/>
          <w:bCs/>
        </w:rPr>
        <w:t xml:space="preserve">κατά τη διάρκεια των </w:t>
      </w:r>
      <w:proofErr w:type="spellStart"/>
      <w:r w:rsidRPr="00D115C9">
        <w:rPr>
          <w:b/>
          <w:bCs/>
        </w:rPr>
        <w:t>τετραμήνων</w:t>
      </w:r>
      <w:proofErr w:type="spellEnd"/>
      <w:r w:rsidRPr="00D115C9">
        <w:t> συνεκτιμώνται τα παρακάτω κριτήρια:</w:t>
      </w:r>
    </w:p>
    <w:p w14:paraId="6016945E" w14:textId="77777777" w:rsidR="00D115C9" w:rsidRPr="00D115C9" w:rsidRDefault="00D115C9" w:rsidP="00D115C9">
      <w:pPr>
        <w:ind w:left="-567" w:right="-766"/>
        <w:jc w:val="both"/>
      </w:pPr>
      <w:r w:rsidRPr="00D115C9">
        <w:t>α) η </w:t>
      </w:r>
      <w:r w:rsidRPr="00D115C9">
        <w:rPr>
          <w:b/>
          <w:bCs/>
        </w:rPr>
        <w:t>συνολική συμμετοχή του μαθητή στη μαθησιακή διδασκαλία</w:t>
      </w:r>
      <w:r w:rsidRPr="00D115C9">
        <w:t> (τα ερωτήματα που θέτει, οι απαντήσεις που δίνει, η συμβολή του στη μελέτη ενός θέματος μέσα στην τάξη, η συνεργασία του με συμμαθητές, η επιμέλεια στην εκτέλεση των εργασιών που του ανατίθενται), από την οποία ο εκπαιδευτικός σχηματίζει εικόνα για τις γνώσεις, την κατανόηση εννοιών και φαινομένων, τις δεξιότητες επίλυσης προβλήματος, τις επικοινωνιακές δεξιότητες, την κριτική σκέψη, τη δημιουργικότητα κ.λπ.,</w:t>
      </w:r>
    </w:p>
    <w:p w14:paraId="5D46B389" w14:textId="77777777" w:rsidR="00D115C9" w:rsidRPr="00D115C9" w:rsidRDefault="00D115C9" w:rsidP="00D115C9">
      <w:pPr>
        <w:ind w:left="-567" w:right="-766"/>
        <w:jc w:val="both"/>
      </w:pPr>
      <w:r w:rsidRPr="00D115C9">
        <w:t>β) </w:t>
      </w:r>
      <w:r w:rsidRPr="00D115C9">
        <w:rPr>
          <w:b/>
          <w:bCs/>
        </w:rPr>
        <w:t>οι εργασίες που εκτελεί ο μαθητής</w:t>
      </w:r>
      <w:r w:rsidRPr="00D115C9">
        <w:t> στο πλαίσιο της καθημερινής μαθησιακής διαδικασίας στο σχολείο ή στο σπίτι, ατομικά ή ομαδικά,</w:t>
      </w:r>
    </w:p>
    <w:p w14:paraId="7C62835B" w14:textId="77777777" w:rsidR="00D115C9" w:rsidRPr="00D115C9" w:rsidRDefault="00D115C9" w:rsidP="00D115C9">
      <w:pPr>
        <w:ind w:left="-567" w:right="-766"/>
        <w:jc w:val="both"/>
      </w:pPr>
      <w:r w:rsidRPr="00D115C9">
        <w:t>γ) </w:t>
      </w:r>
      <w:r w:rsidRPr="00D115C9">
        <w:rPr>
          <w:b/>
          <w:bCs/>
        </w:rPr>
        <w:t>οι συνθετικές δημιουργικές εργασίες</w:t>
      </w:r>
      <w:r w:rsidRPr="00D115C9">
        <w:t>, ατομικές ή ομαδικές, και οι διαθεματικές εργασίες, ατομικές ή ομαδικές,</w:t>
      </w:r>
    </w:p>
    <w:p w14:paraId="6A562C2C" w14:textId="77777777" w:rsidR="00D115C9" w:rsidRPr="00D115C9" w:rsidRDefault="00D115C9" w:rsidP="00D115C9">
      <w:pPr>
        <w:ind w:left="-567" w:right="-766"/>
        <w:jc w:val="both"/>
      </w:pPr>
      <w:r w:rsidRPr="00D115C9">
        <w:t>δ) </w:t>
      </w:r>
      <w:r w:rsidRPr="00D115C9">
        <w:rPr>
          <w:b/>
          <w:bCs/>
        </w:rPr>
        <w:t xml:space="preserve">οι </w:t>
      </w:r>
      <w:proofErr w:type="spellStart"/>
      <w:r w:rsidRPr="00D115C9">
        <w:rPr>
          <w:b/>
          <w:bCs/>
        </w:rPr>
        <w:t>τετραμηνιαίες</w:t>
      </w:r>
      <w:proofErr w:type="spellEnd"/>
      <w:r w:rsidRPr="00D115C9">
        <w:rPr>
          <w:b/>
          <w:bCs/>
        </w:rPr>
        <w:t xml:space="preserve"> δοκιμασίες αξιολόγησης</w:t>
      </w:r>
      <w:r w:rsidRPr="00D115C9">
        <w:t> (ωριαίες γραπτές δοκιμασίες ή ανάθεση και υποβολή/παρουσίαση ατομικής ή ομαδικής συνθετικής ή διαθεματικής δημιουργικής εργασίας ή αξιοποίηση των χαρακτηριστικών και των σταδίων εφαρμογής του μοντέλου της ανεστραμμένης τάξης),</w:t>
      </w:r>
    </w:p>
    <w:p w14:paraId="06E98667" w14:textId="77777777" w:rsidR="00D115C9" w:rsidRPr="00D115C9" w:rsidRDefault="00D115C9" w:rsidP="00D115C9">
      <w:pPr>
        <w:ind w:left="-567" w:right="-766"/>
        <w:jc w:val="both"/>
      </w:pPr>
      <w:r w:rsidRPr="00D115C9">
        <w:t>ε) </w:t>
      </w:r>
      <w:r w:rsidRPr="00D115C9">
        <w:rPr>
          <w:b/>
          <w:bCs/>
        </w:rPr>
        <w:t>οι ολιγόλεπτες γραπτές δοκιμασίες</w:t>
      </w:r>
      <w:r w:rsidRPr="00D115C9">
        <w:t> (τεστ).</w:t>
      </w:r>
    </w:p>
    <w:p w14:paraId="47D5DEE8" w14:textId="77777777" w:rsidR="00D115C9" w:rsidRPr="00D115C9" w:rsidRDefault="00D115C9" w:rsidP="00D115C9">
      <w:pPr>
        <w:ind w:left="-567" w:right="-766"/>
        <w:jc w:val="both"/>
      </w:pPr>
      <w:r w:rsidRPr="00D115C9">
        <w:t>2. Όσον αφορά τις </w:t>
      </w:r>
      <w:r w:rsidRPr="00D115C9">
        <w:rPr>
          <w:b/>
          <w:bCs/>
        </w:rPr>
        <w:t>ωριαίες γραπτές δοκιμασίες</w:t>
      </w:r>
      <w:r w:rsidRPr="00D115C9">
        <w:t> αυτές είναι:</w:t>
      </w:r>
    </w:p>
    <w:p w14:paraId="72D53AAD" w14:textId="77777777" w:rsidR="00D115C9" w:rsidRPr="00D115C9" w:rsidRDefault="00D115C9" w:rsidP="00D115C9">
      <w:pPr>
        <w:ind w:left="-567" w:right="-766"/>
        <w:jc w:val="both"/>
      </w:pPr>
      <w:r w:rsidRPr="00D115C9">
        <w:t>α) προειδοποιημένες, αν έπονται μιας ανακεφαλαίωσης ή</w:t>
      </w:r>
    </w:p>
    <w:p w14:paraId="7938FB3A" w14:textId="77777777" w:rsidR="00D115C9" w:rsidRPr="00D115C9" w:rsidRDefault="00D115C9" w:rsidP="00D115C9">
      <w:pPr>
        <w:ind w:left="-567" w:right="-766"/>
        <w:jc w:val="both"/>
      </w:pPr>
      <w:r w:rsidRPr="00D115C9">
        <w:t>β) μη προειδοποιημένες, αν καλύπτουν την ύλη που διδάχθηκε στο αμέσως προηγούμενο μάθημα.</w:t>
      </w:r>
    </w:p>
    <w:p w14:paraId="1A0ACDFE" w14:textId="77777777" w:rsidR="00D115C9" w:rsidRPr="00D115C9" w:rsidRDefault="00D115C9" w:rsidP="00D115C9">
      <w:pPr>
        <w:ind w:left="-567" w:right="-766"/>
        <w:jc w:val="both"/>
      </w:pPr>
      <w:r w:rsidRPr="00D115C9">
        <w:rPr>
          <w:b/>
          <w:bCs/>
        </w:rPr>
        <w:t>Δεν επιτρέπεται </w:t>
      </w:r>
      <w:r w:rsidRPr="00D115C9">
        <w:t>να πραγματοποιούνται περισσότερες από μία ωριαία γραπτή δοκιμασία κατά τη διάρκεια του ημερησίου διδακτικού προγράμματος και περισσότερες από τρεις (3) κατά τη διάρκεια του εβδομαδιαίου διδακτικού προγράμματος.</w:t>
      </w:r>
    </w:p>
    <w:p w14:paraId="2B8D4EBC" w14:textId="77777777" w:rsidR="00D115C9" w:rsidRPr="00D115C9" w:rsidRDefault="00D115C9" w:rsidP="00D115C9">
      <w:pPr>
        <w:ind w:left="-567" w:right="-766"/>
        <w:jc w:val="both"/>
      </w:pPr>
      <w:r w:rsidRPr="00D115C9">
        <w:t>3. Στα μαθήματα της </w:t>
      </w:r>
      <w:r w:rsidRPr="00D115C9">
        <w:rPr>
          <w:b/>
          <w:bCs/>
        </w:rPr>
        <w:t>Ομάδας Α΄ και της Ομάδας Β</w:t>
      </w:r>
      <w:r w:rsidRPr="00D115C9">
        <w:t xml:space="preserve">΄ των περ. α’ και β’, αντίστοιχα, διενεργείται υποχρεωτικά μία (1) </w:t>
      </w:r>
      <w:proofErr w:type="spellStart"/>
      <w:r w:rsidRPr="00D115C9">
        <w:t>τετραμηνιαία</w:t>
      </w:r>
      <w:proofErr w:type="spellEnd"/>
      <w:r w:rsidRPr="00D115C9">
        <w:t xml:space="preserve"> δοκιμασία αξιολόγησης. Οι διδάσκοντες μαθήματα της Ομάδας Α’ και της Ομάδας Β’ δύνανται να επιλέξουν στο πρώτο και στο δεύτερο τετράμηνο, τον τρόπο διεξαγωγής της αξιολόγησης αυτής επιλέγοντας μεταξύ των εναλλακτικών που προβλέπονται στην περ. δ’ της παρ. 1. Στα μαθήματα της </w:t>
      </w:r>
      <w:r w:rsidRPr="00D115C9">
        <w:rPr>
          <w:b/>
          <w:bCs/>
        </w:rPr>
        <w:t>Ομάδας Γ΄</w:t>
      </w:r>
      <w:r w:rsidRPr="00D115C9">
        <w:t xml:space="preserve"> του τρίτου εδαφίου της παρ. 1 του άρθρου 2 δεν διενεργείται καμία </w:t>
      </w:r>
      <w:proofErr w:type="spellStart"/>
      <w:r w:rsidRPr="00D115C9">
        <w:t>τετραμηνιαία</w:t>
      </w:r>
      <w:proofErr w:type="spellEnd"/>
      <w:r w:rsidRPr="00D115C9">
        <w:t xml:space="preserve"> δοκιμασία αξιολόγησης.</w:t>
      </w:r>
    </w:p>
    <w:p w14:paraId="42D64562" w14:textId="000A9879" w:rsidR="00D115C9" w:rsidRPr="00D115C9" w:rsidRDefault="00D115C9" w:rsidP="00D115C9">
      <w:pPr>
        <w:ind w:left="-567" w:right="-766"/>
        <w:jc w:val="both"/>
      </w:pPr>
      <w:r w:rsidRPr="00D115C9">
        <w:t>4. Οι ολιγόλεπτες δοκιμασίες πραγματοποιούνται με ή χωρίς προειδοποίηση των μαθητών με τη μορφή σύντομων, ποικίλων και κατάλληλων γραπτών ερωτήσεων. Ο αριθμός και η συχνότητα των ολιγόλεπτων δοκιμασιών που πραγματοποιούνται σε κάθε τετράμηνο επαφίενται στην κρίση του διδάσκοντος.».</w:t>
      </w:r>
    </w:p>
    <w:p w14:paraId="71B37D51" w14:textId="77777777" w:rsidR="004E6D21" w:rsidRDefault="004E6D21" w:rsidP="00D115C9">
      <w:pPr>
        <w:ind w:left="-567" w:right="-766"/>
        <w:jc w:val="both"/>
      </w:pPr>
    </w:p>
    <w:sectPr w:rsidR="004E6D21" w:rsidSect="00D115C9">
      <w:pgSz w:w="11906" w:h="16838"/>
      <w:pgMar w:top="851"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5C9"/>
    <w:rsid w:val="004E6D21"/>
    <w:rsid w:val="00604359"/>
    <w:rsid w:val="008921ED"/>
    <w:rsid w:val="00D115C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0D026"/>
  <w15:chartTrackingRefBased/>
  <w15:docId w15:val="{DA1EB86F-565E-41ED-A23A-493F2091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115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115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115C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115C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115C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115C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115C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115C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115C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115C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115C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115C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115C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115C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115C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115C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115C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115C9"/>
    <w:rPr>
      <w:rFonts w:eastAsiaTheme="majorEastAsia" w:cstheme="majorBidi"/>
      <w:color w:val="272727" w:themeColor="text1" w:themeTint="D8"/>
    </w:rPr>
  </w:style>
  <w:style w:type="paragraph" w:styleId="a3">
    <w:name w:val="Title"/>
    <w:basedOn w:val="a"/>
    <w:next w:val="a"/>
    <w:link w:val="Char"/>
    <w:uiPriority w:val="10"/>
    <w:qFormat/>
    <w:rsid w:val="00D115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115C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115C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115C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115C9"/>
    <w:pPr>
      <w:spacing w:before="160"/>
      <w:jc w:val="center"/>
    </w:pPr>
    <w:rPr>
      <w:i/>
      <w:iCs/>
      <w:color w:val="404040" w:themeColor="text1" w:themeTint="BF"/>
    </w:rPr>
  </w:style>
  <w:style w:type="character" w:customStyle="1" w:styleId="Char1">
    <w:name w:val="Απόσπασμα Char"/>
    <w:basedOn w:val="a0"/>
    <w:link w:val="a5"/>
    <w:uiPriority w:val="29"/>
    <w:rsid w:val="00D115C9"/>
    <w:rPr>
      <w:i/>
      <w:iCs/>
      <w:color w:val="404040" w:themeColor="text1" w:themeTint="BF"/>
    </w:rPr>
  </w:style>
  <w:style w:type="paragraph" w:styleId="a6">
    <w:name w:val="List Paragraph"/>
    <w:basedOn w:val="a"/>
    <w:uiPriority w:val="34"/>
    <w:qFormat/>
    <w:rsid w:val="00D115C9"/>
    <w:pPr>
      <w:ind w:left="720"/>
      <w:contextualSpacing/>
    </w:pPr>
  </w:style>
  <w:style w:type="character" w:styleId="a7">
    <w:name w:val="Intense Emphasis"/>
    <w:basedOn w:val="a0"/>
    <w:uiPriority w:val="21"/>
    <w:qFormat/>
    <w:rsid w:val="00D115C9"/>
    <w:rPr>
      <w:i/>
      <w:iCs/>
      <w:color w:val="0F4761" w:themeColor="accent1" w:themeShade="BF"/>
    </w:rPr>
  </w:style>
  <w:style w:type="paragraph" w:styleId="a8">
    <w:name w:val="Intense Quote"/>
    <w:basedOn w:val="a"/>
    <w:next w:val="a"/>
    <w:link w:val="Char2"/>
    <w:uiPriority w:val="30"/>
    <w:qFormat/>
    <w:rsid w:val="00D115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115C9"/>
    <w:rPr>
      <w:i/>
      <w:iCs/>
      <w:color w:val="0F4761" w:themeColor="accent1" w:themeShade="BF"/>
    </w:rPr>
  </w:style>
  <w:style w:type="character" w:styleId="a9">
    <w:name w:val="Intense Reference"/>
    <w:basedOn w:val="a0"/>
    <w:uiPriority w:val="32"/>
    <w:qFormat/>
    <w:rsid w:val="00D115C9"/>
    <w:rPr>
      <w:b/>
      <w:bCs/>
      <w:smallCaps/>
      <w:color w:val="0F4761" w:themeColor="accent1" w:themeShade="BF"/>
      <w:spacing w:val="5"/>
    </w:rPr>
  </w:style>
  <w:style w:type="character" w:styleId="-">
    <w:name w:val="Hyperlink"/>
    <w:basedOn w:val="a0"/>
    <w:uiPriority w:val="99"/>
    <w:unhideWhenUsed/>
    <w:rsid w:val="00D115C9"/>
    <w:rPr>
      <w:color w:val="467886" w:themeColor="hyperlink"/>
      <w:u w:val="single"/>
    </w:rPr>
  </w:style>
  <w:style w:type="character" w:styleId="aa">
    <w:name w:val="Unresolved Mention"/>
    <w:basedOn w:val="a0"/>
    <w:uiPriority w:val="99"/>
    <w:semiHidden/>
    <w:unhideWhenUsed/>
    <w:rsid w:val="00D11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682068">
      <w:bodyDiv w:val="1"/>
      <w:marLeft w:val="0"/>
      <w:marRight w:val="0"/>
      <w:marTop w:val="0"/>
      <w:marBottom w:val="0"/>
      <w:divBdr>
        <w:top w:val="none" w:sz="0" w:space="0" w:color="auto"/>
        <w:left w:val="none" w:sz="0" w:space="0" w:color="auto"/>
        <w:bottom w:val="none" w:sz="0" w:space="0" w:color="auto"/>
        <w:right w:val="none" w:sz="0" w:space="0" w:color="auto"/>
      </w:divBdr>
      <w:divsChild>
        <w:div w:id="1854958636">
          <w:marLeft w:val="0"/>
          <w:marRight w:val="0"/>
          <w:marTop w:val="0"/>
          <w:marBottom w:val="450"/>
          <w:divBdr>
            <w:top w:val="none" w:sz="0" w:space="0" w:color="auto"/>
            <w:left w:val="none" w:sz="0" w:space="0" w:color="auto"/>
            <w:bottom w:val="none" w:sz="0" w:space="0" w:color="auto"/>
            <w:right w:val="none" w:sz="0" w:space="0" w:color="auto"/>
          </w:divBdr>
        </w:div>
        <w:div w:id="1807815177">
          <w:marLeft w:val="0"/>
          <w:marRight w:val="0"/>
          <w:marTop w:val="0"/>
          <w:marBottom w:val="0"/>
          <w:divBdr>
            <w:top w:val="none" w:sz="0" w:space="0" w:color="auto"/>
            <w:left w:val="none" w:sz="0" w:space="0" w:color="auto"/>
            <w:bottom w:val="none" w:sz="0" w:space="0" w:color="auto"/>
            <w:right w:val="none" w:sz="0" w:space="0" w:color="auto"/>
          </w:divBdr>
        </w:div>
      </w:divsChild>
    </w:div>
    <w:div w:id="1820149171">
      <w:bodyDiv w:val="1"/>
      <w:marLeft w:val="0"/>
      <w:marRight w:val="0"/>
      <w:marTop w:val="0"/>
      <w:marBottom w:val="0"/>
      <w:divBdr>
        <w:top w:val="none" w:sz="0" w:space="0" w:color="auto"/>
        <w:left w:val="none" w:sz="0" w:space="0" w:color="auto"/>
        <w:bottom w:val="none" w:sz="0" w:space="0" w:color="auto"/>
        <w:right w:val="none" w:sz="0" w:space="0" w:color="auto"/>
      </w:divBdr>
      <w:divsChild>
        <w:div w:id="47069413">
          <w:marLeft w:val="0"/>
          <w:marRight w:val="0"/>
          <w:marTop w:val="0"/>
          <w:marBottom w:val="450"/>
          <w:divBdr>
            <w:top w:val="none" w:sz="0" w:space="0" w:color="auto"/>
            <w:left w:val="none" w:sz="0" w:space="0" w:color="auto"/>
            <w:bottom w:val="none" w:sz="0" w:space="0" w:color="auto"/>
            <w:right w:val="none" w:sz="0" w:space="0" w:color="auto"/>
          </w:divBdr>
        </w:div>
        <w:div w:id="1081756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456</Words>
  <Characters>2467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ΒΑΡΒΑΡΑ ΑΛΗΓΙΑΝΝΗ</dc:creator>
  <cp:keywords/>
  <dc:description/>
  <cp:lastModifiedBy>ΒΑΡΒΑΡΑ ΑΛΗΓΙΑΝΝΗ</cp:lastModifiedBy>
  <cp:revision>1</cp:revision>
  <dcterms:created xsi:type="dcterms:W3CDTF">2024-11-13T16:17:00Z</dcterms:created>
  <dcterms:modified xsi:type="dcterms:W3CDTF">2024-11-13T16:25:00Z</dcterms:modified>
</cp:coreProperties>
</file>