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93BCE" w14:textId="48C3549F" w:rsidR="009D3FCF" w:rsidRDefault="009D3FCF" w:rsidP="009D3FCF">
      <w:pPr>
        <w:rPr>
          <w:sz w:val="32"/>
          <w:szCs w:val="32"/>
        </w:rPr>
      </w:pPr>
      <w:r>
        <w:rPr>
          <w:sz w:val="32"/>
          <w:szCs w:val="32"/>
        </w:rPr>
        <w:t xml:space="preserve">ΜΑΘΗΜΑ </w:t>
      </w:r>
      <w:r>
        <w:rPr>
          <w:sz w:val="32"/>
          <w:szCs w:val="32"/>
        </w:rPr>
        <w:t>3</w:t>
      </w:r>
      <w:r>
        <w:rPr>
          <w:sz w:val="32"/>
          <w:szCs w:val="32"/>
        </w:rPr>
        <w:t>ο</w:t>
      </w:r>
    </w:p>
    <w:p w14:paraId="70983A7B" w14:textId="594BD5E4" w:rsidR="009D3FCF" w:rsidRPr="00443B07" w:rsidRDefault="009D3FCF" w:rsidP="009D3FCF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2.1.1</w:t>
      </w:r>
      <w:r w:rsidRPr="00443B07">
        <w:rPr>
          <w:sz w:val="32"/>
          <w:szCs w:val="32"/>
          <w:u w:val="single"/>
        </w:rPr>
        <w:t>-</w:t>
      </w:r>
      <w:r>
        <w:rPr>
          <w:sz w:val="32"/>
          <w:szCs w:val="32"/>
          <w:u w:val="single"/>
        </w:rPr>
        <w:t>2.</w:t>
      </w:r>
      <w:r w:rsidRPr="00443B07">
        <w:rPr>
          <w:sz w:val="32"/>
          <w:szCs w:val="32"/>
          <w:u w:val="single"/>
        </w:rPr>
        <w:t>1.</w:t>
      </w:r>
      <w:r>
        <w:rPr>
          <w:sz w:val="32"/>
          <w:szCs w:val="32"/>
          <w:u w:val="single"/>
        </w:rPr>
        <w:t>2</w:t>
      </w:r>
      <w:r w:rsidRPr="00443B07">
        <w:rPr>
          <w:sz w:val="32"/>
          <w:szCs w:val="32"/>
          <w:u w:val="single"/>
        </w:rPr>
        <w:t>:</w:t>
      </w:r>
      <w:r>
        <w:rPr>
          <w:sz w:val="32"/>
          <w:szCs w:val="32"/>
          <w:u w:val="single"/>
        </w:rPr>
        <w:t xml:space="preserve"> ΚΟΙΝΩΝΙΚΕΣ ΟΜΑΔΕΣ/ ΔΙΑΚΡΙΣΕΙΣ ΚΟΙΝΩΝΙΚΩΝ ΟΜΑΔΩΝ</w:t>
      </w:r>
      <w:r w:rsidRPr="00443B07">
        <w:rPr>
          <w:sz w:val="32"/>
          <w:szCs w:val="32"/>
          <w:u w:val="single"/>
        </w:rPr>
        <w:t xml:space="preserve"> (σελ.</w:t>
      </w:r>
      <w:r>
        <w:rPr>
          <w:sz w:val="32"/>
          <w:szCs w:val="32"/>
          <w:u w:val="single"/>
        </w:rPr>
        <w:t>15-16</w:t>
      </w:r>
      <w:r w:rsidRPr="00443B07">
        <w:rPr>
          <w:sz w:val="32"/>
          <w:szCs w:val="32"/>
          <w:u w:val="single"/>
        </w:rPr>
        <w:t>)</w:t>
      </w:r>
    </w:p>
    <w:p w14:paraId="1B086936" w14:textId="6C80C741" w:rsidR="009D3FCF" w:rsidRPr="009D3FCF" w:rsidRDefault="009D3FCF" w:rsidP="009D3FC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ΚΟΙΝΩΝΙΚΕΣ ΟΜΑΔΕΣ</w:t>
      </w:r>
      <w:r w:rsidRPr="006F4262">
        <w:rPr>
          <w:b/>
          <w:bCs/>
          <w:sz w:val="28"/>
          <w:szCs w:val="28"/>
        </w:rPr>
        <w:t xml:space="preserve"> (σελ. 1</w:t>
      </w:r>
      <w:r>
        <w:rPr>
          <w:b/>
          <w:bCs/>
          <w:sz w:val="28"/>
          <w:szCs w:val="28"/>
        </w:rPr>
        <w:t>5</w:t>
      </w:r>
      <w:r w:rsidRPr="006F4262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 w:rsidRPr="009D3FCF">
        <w:rPr>
          <w:sz w:val="28"/>
          <w:szCs w:val="28"/>
        </w:rPr>
        <w:t>(</w:t>
      </w:r>
      <w:r>
        <w:rPr>
          <w:sz w:val="28"/>
          <w:szCs w:val="28"/>
        </w:rPr>
        <w:t>π.χ. μαθητές)</w:t>
      </w:r>
    </w:p>
    <w:p w14:paraId="6232D003" w14:textId="666E6FF5" w:rsidR="00286703" w:rsidRDefault="009D3FCF" w:rsidP="009D3FCF">
      <w:pPr>
        <w:pStyle w:val="ListParagraph"/>
        <w:numPr>
          <w:ilvl w:val="0"/>
          <w:numId w:val="1"/>
        </w:numPr>
      </w:pPr>
      <w:r>
        <w:t>Οργανωμένο σύνολο ατόμων (υπάρχουν μορφές οργάνωσης, π.χ. τάξη)</w:t>
      </w:r>
    </w:p>
    <w:p w14:paraId="4E58794D" w14:textId="77777777" w:rsidR="009D3FCF" w:rsidRDefault="009D3FCF" w:rsidP="009D3FCF">
      <w:pPr>
        <w:pStyle w:val="ListParagraph"/>
        <w:numPr>
          <w:ilvl w:val="0"/>
          <w:numId w:val="1"/>
        </w:numPr>
      </w:pPr>
      <w:r>
        <w:t xml:space="preserve">που </w:t>
      </w:r>
      <w:r w:rsidRPr="00DF140A">
        <w:rPr>
          <w:highlight w:val="yellow"/>
        </w:rPr>
        <w:t>επικοινωνούν</w:t>
      </w:r>
      <w:r>
        <w:t xml:space="preserve"> μεταξύ τους (υπάρχουν κοινές δραστηριότητες, π.χ. μάθημα, διάλειμμα)</w:t>
      </w:r>
    </w:p>
    <w:p w14:paraId="5C8F4414" w14:textId="77777777" w:rsidR="009D3FCF" w:rsidRDefault="009D3FCF" w:rsidP="009D3FCF">
      <w:pPr>
        <w:pStyle w:val="ListParagraph"/>
        <w:numPr>
          <w:ilvl w:val="0"/>
          <w:numId w:val="1"/>
        </w:numPr>
      </w:pPr>
      <w:r>
        <w:t xml:space="preserve">έχουν </w:t>
      </w:r>
      <w:r w:rsidRPr="00DF140A">
        <w:rPr>
          <w:highlight w:val="yellow"/>
        </w:rPr>
        <w:t>κοινούς σκοπούς</w:t>
      </w:r>
      <w:r>
        <w:t xml:space="preserve"> (επιδιώκεται κάτι κοινό, π.χ. μάθηση)</w:t>
      </w:r>
    </w:p>
    <w:p w14:paraId="4ED32440" w14:textId="77777777" w:rsidR="009D3FCF" w:rsidRDefault="009D3FCF" w:rsidP="009D3FCF">
      <w:pPr>
        <w:pStyle w:val="ListParagraph"/>
        <w:numPr>
          <w:ilvl w:val="0"/>
          <w:numId w:val="1"/>
        </w:numPr>
      </w:pPr>
      <w:r>
        <w:t xml:space="preserve">και αποκτούν </w:t>
      </w:r>
      <w:r w:rsidRPr="00DF140A">
        <w:rPr>
          <w:highlight w:val="yellow"/>
        </w:rPr>
        <w:t>αίσθηση της ομάδας</w:t>
      </w:r>
      <w:r>
        <w:t xml:space="preserve"> (πραγματοποιείται με απόκτηση «ταυτότητας», π.χ. μαθητής)</w:t>
      </w:r>
    </w:p>
    <w:p w14:paraId="217DD5DF" w14:textId="1DFB90EA" w:rsidR="009D3FCF" w:rsidRDefault="009D3FCF" w:rsidP="009D3FCF">
      <w:r>
        <w:rPr>
          <w:b/>
          <w:bCs/>
          <w:sz w:val="28"/>
          <w:szCs w:val="28"/>
        </w:rPr>
        <w:t>ΔΙΑΚΡΙΣΕΙΣ ΚΟΙΝΩΝΙΚΩΝ ΟΜΑΔΩΝ (σελ. 16)</w:t>
      </w:r>
      <w:r>
        <w:t xml:space="preserve"> </w:t>
      </w:r>
    </w:p>
    <w:p w14:paraId="4AC99827" w14:textId="2028B816" w:rsidR="009D3FCF" w:rsidRDefault="009D3FCF" w:rsidP="00DF140A">
      <w:pPr>
        <w:pStyle w:val="ListParagraph"/>
        <w:numPr>
          <w:ilvl w:val="0"/>
          <w:numId w:val="3"/>
        </w:numPr>
      </w:pPr>
      <w:r w:rsidRPr="00DF140A">
        <w:rPr>
          <w:highlight w:val="yellow"/>
        </w:rPr>
        <w:t>Πρωτογενείς</w:t>
      </w:r>
      <w:r>
        <w:t xml:space="preserve"> : δημιουργούνται εκ φύσεως, στα πρώτα βήματα της ζωής του ατόμου (π.χ. οικογένεια, παρέα)</w:t>
      </w:r>
    </w:p>
    <w:p w14:paraId="6CDD0B9C" w14:textId="2F144C41" w:rsidR="009D3FCF" w:rsidRDefault="009D3FCF" w:rsidP="00DF140A">
      <w:pPr>
        <w:pStyle w:val="ListParagraph"/>
        <w:numPr>
          <w:ilvl w:val="0"/>
          <w:numId w:val="3"/>
        </w:numPr>
      </w:pPr>
      <w:r w:rsidRPr="00DF140A">
        <w:rPr>
          <w:highlight w:val="yellow"/>
        </w:rPr>
        <w:t>Δευτερογενείς</w:t>
      </w:r>
      <w:r>
        <w:t xml:space="preserve">: </w:t>
      </w:r>
      <w:r w:rsidR="00DF140A">
        <w:t>δημιουργούνται με επιλογή του ατόμου στην πορεία της ζωής του (π.χ. επαγγελματικοί σύλλογοι, συμμαθητές)</w:t>
      </w:r>
    </w:p>
    <w:p w14:paraId="7017055C" w14:textId="784E5AD5" w:rsidR="00DF140A" w:rsidRDefault="00DF140A" w:rsidP="00DF140A">
      <w:pPr>
        <w:pStyle w:val="ListParagraph"/>
        <w:numPr>
          <w:ilvl w:val="0"/>
          <w:numId w:val="3"/>
        </w:numPr>
      </w:pPr>
      <w:r w:rsidRPr="00DF140A">
        <w:rPr>
          <w:highlight w:val="yellow"/>
        </w:rPr>
        <w:t>Ανοιχτές</w:t>
      </w:r>
      <w:r>
        <w:t xml:space="preserve"> : συμμετοχή με συμπλήρωση κάποιας προϋπόθεσης (π.χ. επαγγελματικοί σύλλογοι. Προϋπόθεση: κατοχή τίτλου επαγγέλματος )</w:t>
      </w:r>
    </w:p>
    <w:p w14:paraId="17282781" w14:textId="4FEEA08D" w:rsidR="00DF140A" w:rsidRDefault="00DF140A" w:rsidP="00DF140A">
      <w:pPr>
        <w:pStyle w:val="ListParagraph"/>
        <w:numPr>
          <w:ilvl w:val="0"/>
          <w:numId w:val="3"/>
        </w:numPr>
      </w:pPr>
      <w:r w:rsidRPr="00DF140A">
        <w:rPr>
          <w:highlight w:val="yellow"/>
        </w:rPr>
        <w:t>Κλειστές</w:t>
      </w:r>
      <w:r>
        <w:t>: συμμετοχή με συμφωνία της ομάδας (π.χ. Φιλική Εταιρεία, συμμορίες)</w:t>
      </w:r>
    </w:p>
    <w:p w14:paraId="4FB4EB87" w14:textId="77777777" w:rsidR="00DF140A" w:rsidRDefault="00DF140A" w:rsidP="00DF140A">
      <w:pPr>
        <w:pStyle w:val="ListParagraph"/>
      </w:pPr>
    </w:p>
    <w:p w14:paraId="5BBC0B01" w14:textId="77777777" w:rsidR="00DF140A" w:rsidRDefault="00DF140A" w:rsidP="00DF140A">
      <w:pPr>
        <w:pStyle w:val="ListParagraph"/>
      </w:pPr>
    </w:p>
    <w:p w14:paraId="74E2FDDD" w14:textId="6C066DA5" w:rsidR="00DF140A" w:rsidRDefault="00DF140A" w:rsidP="00DF140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2.</w:t>
      </w:r>
      <w:r w:rsidRPr="00443B07">
        <w:rPr>
          <w:sz w:val="32"/>
          <w:szCs w:val="32"/>
          <w:u w:val="single"/>
        </w:rPr>
        <w:t>1.</w:t>
      </w:r>
      <w:r>
        <w:rPr>
          <w:sz w:val="32"/>
          <w:szCs w:val="32"/>
          <w:u w:val="single"/>
        </w:rPr>
        <w:t>2</w:t>
      </w:r>
      <w:r w:rsidRPr="00443B07">
        <w:rPr>
          <w:sz w:val="32"/>
          <w:szCs w:val="32"/>
          <w:u w:val="single"/>
        </w:rPr>
        <w:t>:</w:t>
      </w:r>
      <w:r>
        <w:rPr>
          <w:sz w:val="32"/>
          <w:szCs w:val="32"/>
          <w:u w:val="single"/>
        </w:rPr>
        <w:t xml:space="preserve"> ΔΙΑΚΡΙΣΕΙΣ</w:t>
      </w:r>
      <w:r>
        <w:rPr>
          <w:sz w:val="32"/>
          <w:szCs w:val="32"/>
          <w:u w:val="single"/>
        </w:rPr>
        <w:t xml:space="preserve"> ΣΕ ΒΑΡΟΣ</w:t>
      </w:r>
      <w:r>
        <w:rPr>
          <w:sz w:val="32"/>
          <w:szCs w:val="32"/>
          <w:u w:val="single"/>
        </w:rPr>
        <w:t xml:space="preserve"> ΚΟΙΝΩΝΙΚΩΝ ΟΜΑΔΩΝ</w:t>
      </w:r>
      <w:r w:rsidRPr="00443B07">
        <w:rPr>
          <w:sz w:val="32"/>
          <w:szCs w:val="32"/>
          <w:u w:val="single"/>
        </w:rPr>
        <w:t xml:space="preserve"> (σελ</w:t>
      </w:r>
      <w:r>
        <w:rPr>
          <w:sz w:val="32"/>
          <w:szCs w:val="32"/>
          <w:u w:val="single"/>
        </w:rPr>
        <w:t>.</w:t>
      </w:r>
      <w:r>
        <w:rPr>
          <w:sz w:val="32"/>
          <w:szCs w:val="32"/>
          <w:u w:val="single"/>
        </w:rPr>
        <w:t>16</w:t>
      </w:r>
      <w:r w:rsidRPr="00443B07">
        <w:rPr>
          <w:sz w:val="32"/>
          <w:szCs w:val="32"/>
          <w:u w:val="single"/>
        </w:rPr>
        <w:t>)</w:t>
      </w:r>
    </w:p>
    <w:p w14:paraId="6F023C92" w14:textId="2745E202" w:rsidR="00DF140A" w:rsidRPr="00443B07" w:rsidRDefault="002671DF" w:rsidP="00DF140A">
      <w:pPr>
        <w:rPr>
          <w:sz w:val="32"/>
          <w:szCs w:val="32"/>
          <w:u w:val="single"/>
        </w:rPr>
      </w:pPr>
      <w:r>
        <w:rPr>
          <w:b/>
          <w:bCs/>
          <w:sz w:val="28"/>
          <w:szCs w:val="28"/>
        </w:rPr>
        <w:t>ΑΠΟΤΕΛΕΣΜΑΤΑ ΣΥΜΒΙΩΣΗΣ</w:t>
      </w:r>
      <w:r w:rsidR="00DF140A">
        <w:rPr>
          <w:b/>
          <w:bCs/>
          <w:sz w:val="28"/>
          <w:szCs w:val="28"/>
        </w:rPr>
        <w:t xml:space="preserve"> ΚΟΙΝΩΝΙΚΩΝ ΟΜΑΔΩΝ</w:t>
      </w:r>
    </w:p>
    <w:p w14:paraId="6DCA9177" w14:textId="0991AE78" w:rsidR="00DF140A" w:rsidRDefault="002671DF" w:rsidP="002671DF">
      <w:pPr>
        <w:pStyle w:val="ListParagraph"/>
        <w:numPr>
          <w:ilvl w:val="0"/>
          <w:numId w:val="4"/>
        </w:numPr>
      </w:pPr>
      <w:r w:rsidRPr="008F2870">
        <w:rPr>
          <w:highlight w:val="yellow"/>
        </w:rPr>
        <w:t>Πολυπολιτισμός</w:t>
      </w:r>
      <w:r>
        <w:t>: συμβίωση πολλών και διαφορετικών κοινωνικών ομάδων (παράδειγμα ξένοι μετανάστες)</w:t>
      </w:r>
    </w:p>
    <w:p w14:paraId="64464962" w14:textId="6DBBE8DF" w:rsidR="002671DF" w:rsidRDefault="002671DF" w:rsidP="002671DF">
      <w:pPr>
        <w:pStyle w:val="ListParagraph"/>
        <w:numPr>
          <w:ilvl w:val="0"/>
          <w:numId w:val="4"/>
        </w:numPr>
      </w:pPr>
      <w:r w:rsidRPr="008F2870">
        <w:rPr>
          <w:highlight w:val="yellow"/>
        </w:rPr>
        <w:t>Παγκοσμιότητα</w:t>
      </w:r>
      <w:r>
        <w:t>: ομοιόμορφος χαρακτήρας τρόπου ζωής (παράδειγμα: ξένη μουσική και τρόπος διασκέδασης κοινός σε πολλές χώρες) και επέκταση ανθρώπινης δραστηριότητας σε παγκόσμιο επίπεδο, π.χ. πολυεθνικές εταιρείες)</w:t>
      </w:r>
    </w:p>
    <w:p w14:paraId="3EDF53F3" w14:textId="2F8C3357" w:rsidR="002671DF" w:rsidRDefault="002671DF" w:rsidP="002671DF">
      <w:pPr>
        <w:pStyle w:val="ListParagraph"/>
        <w:numPr>
          <w:ilvl w:val="0"/>
          <w:numId w:val="4"/>
        </w:numPr>
      </w:pPr>
      <w:r w:rsidRPr="008F2870">
        <w:rPr>
          <w:highlight w:val="yellow"/>
        </w:rPr>
        <w:t>Προκατάληψη</w:t>
      </w:r>
      <w:r>
        <w:t>: η αρνητική αντίληψη για άτομα διαφορετικών κοινωνικών ομάδων</w:t>
      </w:r>
    </w:p>
    <w:p w14:paraId="2F62840B" w14:textId="2605CACE" w:rsidR="002671DF" w:rsidRDefault="002671DF" w:rsidP="002671DF">
      <w:pPr>
        <w:pStyle w:val="ListParagraph"/>
        <w:numPr>
          <w:ilvl w:val="0"/>
          <w:numId w:val="4"/>
        </w:numPr>
      </w:pPr>
      <w:r w:rsidRPr="008F2870">
        <w:rPr>
          <w:highlight w:val="yellow"/>
        </w:rPr>
        <w:t>Ρατσισμός</w:t>
      </w:r>
      <w:r>
        <w:t xml:space="preserve">: </w:t>
      </w:r>
      <w:r w:rsidR="008F2870">
        <w:t>η αρνητική στάση απέναντι σε άλλες κοινωνικές ομάδες (ως προς το φύλο, την ηλικία, τη χώρα, την κοινωνική τάξη, τη θρησκεία, την υγεία κλπ.)</w:t>
      </w:r>
    </w:p>
    <w:p w14:paraId="38C4F332" w14:textId="224A3ED6" w:rsidR="008F2870" w:rsidRDefault="008F2870" w:rsidP="002671DF">
      <w:pPr>
        <w:pStyle w:val="ListParagraph"/>
        <w:numPr>
          <w:ilvl w:val="0"/>
          <w:numId w:val="4"/>
        </w:numPr>
      </w:pPr>
      <w:r>
        <w:t>Ευάλωτες κοινωνικές ομάδες: οι κοινωνικές ομάδες που υφίστανται άνιση μεταχείριση (λόγω θρησκείας ή εθνικής ταυτότητας, φύλλου, αναπηρίας, κλπ.)</w:t>
      </w:r>
    </w:p>
    <w:p w14:paraId="2319964B" w14:textId="77777777" w:rsidR="0072227F" w:rsidRDefault="0072227F" w:rsidP="0072227F">
      <w:pPr>
        <w:pStyle w:val="ListParagraph"/>
        <w:ind w:left="1440"/>
      </w:pPr>
    </w:p>
    <w:p w14:paraId="6EC064AB" w14:textId="25D9D9B8" w:rsidR="0072227F" w:rsidRDefault="0072227F" w:rsidP="0072227F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2.2</w:t>
      </w:r>
      <w:r>
        <w:rPr>
          <w:sz w:val="32"/>
          <w:szCs w:val="32"/>
          <w:u w:val="single"/>
        </w:rPr>
        <w:t>- 2.3</w:t>
      </w:r>
      <w:r w:rsidRPr="00443B07">
        <w:rPr>
          <w:sz w:val="32"/>
          <w:szCs w:val="32"/>
          <w:u w:val="single"/>
        </w:rPr>
        <w:t>: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ΕΝΤΑΞΗ ΚΑΙ ΔΙΑΛΥΣΗ ΚΟΙΝΩΝΙΚΗΣ</w:t>
      </w:r>
      <w:r>
        <w:rPr>
          <w:sz w:val="32"/>
          <w:szCs w:val="32"/>
          <w:u w:val="single"/>
        </w:rPr>
        <w:t xml:space="preserve"> ΟΜΑΔ</w:t>
      </w:r>
      <w:r>
        <w:rPr>
          <w:sz w:val="32"/>
          <w:szCs w:val="32"/>
          <w:u w:val="single"/>
        </w:rPr>
        <w:t>ΑΣ</w:t>
      </w:r>
      <w:r w:rsidRPr="00443B07">
        <w:rPr>
          <w:sz w:val="32"/>
          <w:szCs w:val="32"/>
          <w:u w:val="single"/>
        </w:rPr>
        <w:t xml:space="preserve"> (σελ</w:t>
      </w:r>
      <w:r>
        <w:rPr>
          <w:sz w:val="32"/>
          <w:szCs w:val="32"/>
          <w:u w:val="single"/>
        </w:rPr>
        <w:t>.1</w:t>
      </w:r>
      <w:r>
        <w:rPr>
          <w:sz w:val="32"/>
          <w:szCs w:val="32"/>
          <w:u w:val="single"/>
        </w:rPr>
        <w:t>8</w:t>
      </w:r>
      <w:r w:rsidRPr="00443B07">
        <w:rPr>
          <w:sz w:val="32"/>
          <w:szCs w:val="32"/>
          <w:u w:val="single"/>
        </w:rPr>
        <w:t>)</w:t>
      </w:r>
    </w:p>
    <w:p w14:paraId="50BB0B5A" w14:textId="428C183D" w:rsidR="0072227F" w:rsidRDefault="0072227F" w:rsidP="007222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ΕΝΤΑΞΗ ΣΤΗΝ</w:t>
      </w:r>
      <w:r>
        <w:rPr>
          <w:b/>
          <w:bCs/>
          <w:sz w:val="28"/>
          <w:szCs w:val="28"/>
        </w:rPr>
        <w:t xml:space="preserve"> ΚΟΙΝΩΝΙΚ</w:t>
      </w:r>
      <w:r>
        <w:rPr>
          <w:b/>
          <w:bCs/>
          <w:sz w:val="28"/>
          <w:szCs w:val="28"/>
        </w:rPr>
        <w:t>Η</w:t>
      </w:r>
      <w:r>
        <w:rPr>
          <w:b/>
          <w:bCs/>
          <w:sz w:val="28"/>
          <w:szCs w:val="28"/>
        </w:rPr>
        <w:t xml:space="preserve"> ΟΜΑΔ</w:t>
      </w:r>
      <w:r>
        <w:rPr>
          <w:b/>
          <w:bCs/>
          <w:sz w:val="28"/>
          <w:szCs w:val="28"/>
        </w:rPr>
        <w:t>Α – ΛΟΓΟΙ (σελ. 18)</w:t>
      </w:r>
    </w:p>
    <w:p w14:paraId="4C0A68F2" w14:textId="5F87E220" w:rsidR="0072227F" w:rsidRDefault="0072227F" w:rsidP="0072227F">
      <w:pPr>
        <w:rPr>
          <w:sz w:val="28"/>
          <w:szCs w:val="28"/>
        </w:rPr>
      </w:pPr>
      <w:r>
        <w:rPr>
          <w:sz w:val="28"/>
          <w:szCs w:val="28"/>
        </w:rPr>
        <w:t>α</w:t>
      </w:r>
      <w:r w:rsidRPr="0072227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2227F">
        <w:rPr>
          <w:sz w:val="28"/>
          <w:szCs w:val="28"/>
        </w:rPr>
        <w:t>Κοινωνικότητα (π.χ. παρέες)</w:t>
      </w:r>
    </w:p>
    <w:p w14:paraId="05755185" w14:textId="71E78833" w:rsidR="0072227F" w:rsidRDefault="0072227F" w:rsidP="0072227F">
      <w:pPr>
        <w:rPr>
          <w:sz w:val="28"/>
          <w:szCs w:val="28"/>
        </w:rPr>
      </w:pPr>
      <w:r>
        <w:rPr>
          <w:sz w:val="28"/>
          <w:szCs w:val="28"/>
        </w:rPr>
        <w:t xml:space="preserve">β) Κοινά </w:t>
      </w:r>
      <w:r w:rsidR="00A472A3">
        <w:rPr>
          <w:sz w:val="28"/>
          <w:szCs w:val="28"/>
        </w:rPr>
        <w:t>ενδιαφέροντα (π.χ. αθλητικοί σύλλογοι, πολιτικές νεολαίες)</w:t>
      </w:r>
    </w:p>
    <w:p w14:paraId="59434778" w14:textId="553A4B87" w:rsidR="00A472A3" w:rsidRPr="0072227F" w:rsidRDefault="00A472A3" w:rsidP="0072227F">
      <w:pPr>
        <w:rPr>
          <w:sz w:val="32"/>
          <w:szCs w:val="32"/>
          <w:u w:val="single"/>
        </w:rPr>
      </w:pPr>
      <w:r>
        <w:rPr>
          <w:sz w:val="28"/>
          <w:szCs w:val="28"/>
        </w:rPr>
        <w:t>γ) Ανάγκη μίμησης και απόκτησης ταυτότητας (π.χ. χούλιγκανς)</w:t>
      </w:r>
    </w:p>
    <w:p w14:paraId="6A6CC748" w14:textId="74DA6B87" w:rsidR="0072227F" w:rsidRDefault="00A472A3" w:rsidP="0072227F">
      <w:pPr>
        <w:rPr>
          <w:sz w:val="28"/>
          <w:szCs w:val="28"/>
        </w:rPr>
      </w:pPr>
      <w:r w:rsidRPr="00A472A3">
        <w:rPr>
          <w:sz w:val="28"/>
          <w:szCs w:val="28"/>
        </w:rPr>
        <w:t>δ) Ανάγκη</w:t>
      </w:r>
      <w:r>
        <w:rPr>
          <w:sz w:val="28"/>
          <w:szCs w:val="28"/>
        </w:rPr>
        <w:t xml:space="preserve"> ανάδειξης (π.χ. ηγέτες περιθωριακών κοινωνικών ομάδων)</w:t>
      </w:r>
    </w:p>
    <w:p w14:paraId="24D6F97C" w14:textId="77777777" w:rsidR="00A472A3" w:rsidRPr="00A472A3" w:rsidRDefault="00A472A3" w:rsidP="0072227F">
      <w:pPr>
        <w:rPr>
          <w:sz w:val="28"/>
          <w:szCs w:val="28"/>
        </w:rPr>
      </w:pPr>
    </w:p>
    <w:p w14:paraId="058A1B4F" w14:textId="69895E08" w:rsidR="00A472A3" w:rsidRDefault="00A472A3" w:rsidP="00A472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ΔΙΑΛΥΣΗ</w:t>
      </w:r>
      <w:r>
        <w:rPr>
          <w:b/>
          <w:bCs/>
          <w:sz w:val="28"/>
          <w:szCs w:val="28"/>
        </w:rPr>
        <w:t xml:space="preserve"> ΚΟΙΝΩΝΙΚΗ</w:t>
      </w:r>
      <w:r>
        <w:rPr>
          <w:b/>
          <w:bCs/>
          <w:sz w:val="28"/>
          <w:szCs w:val="28"/>
        </w:rPr>
        <w:t>Σ</w:t>
      </w:r>
      <w:r>
        <w:rPr>
          <w:b/>
          <w:bCs/>
          <w:sz w:val="28"/>
          <w:szCs w:val="28"/>
        </w:rPr>
        <w:t xml:space="preserve"> ΟΜΑΔΑ</w:t>
      </w:r>
      <w:r>
        <w:rPr>
          <w:b/>
          <w:bCs/>
          <w:sz w:val="28"/>
          <w:szCs w:val="28"/>
        </w:rPr>
        <w:t>Σ</w:t>
      </w:r>
      <w:r>
        <w:rPr>
          <w:b/>
          <w:bCs/>
          <w:sz w:val="28"/>
          <w:szCs w:val="28"/>
        </w:rPr>
        <w:t xml:space="preserve"> – ΛΟΓΟΙ (σελ. 18)</w:t>
      </w:r>
    </w:p>
    <w:p w14:paraId="626B6609" w14:textId="5ABB663C" w:rsidR="0072227F" w:rsidRPr="00A472A3" w:rsidRDefault="00A472A3" w:rsidP="0072227F">
      <w:pPr>
        <w:rPr>
          <w:sz w:val="28"/>
          <w:szCs w:val="28"/>
        </w:rPr>
      </w:pPr>
      <w:r w:rsidRPr="00A472A3">
        <w:rPr>
          <w:sz w:val="28"/>
          <w:szCs w:val="28"/>
        </w:rPr>
        <w:t>Με παύση κοινού σκοπού:</w:t>
      </w:r>
    </w:p>
    <w:p w14:paraId="63695920" w14:textId="0D4CFB5B" w:rsidR="00A472A3" w:rsidRDefault="00A472A3" w:rsidP="0072227F">
      <w:pPr>
        <w:rPr>
          <w:sz w:val="28"/>
          <w:szCs w:val="28"/>
        </w:rPr>
      </w:pPr>
      <w:r>
        <w:rPr>
          <w:sz w:val="28"/>
          <w:szCs w:val="28"/>
        </w:rPr>
        <w:t>α) Διαφωνίας (π.χ. Φιλική εταιρεία)</w:t>
      </w:r>
    </w:p>
    <w:p w14:paraId="4FDDAA74" w14:textId="3C37F090" w:rsidR="00A472A3" w:rsidRDefault="00A472A3" w:rsidP="0072227F">
      <w:pPr>
        <w:rPr>
          <w:sz w:val="28"/>
          <w:szCs w:val="28"/>
        </w:rPr>
      </w:pPr>
      <w:r>
        <w:rPr>
          <w:sz w:val="28"/>
          <w:szCs w:val="28"/>
        </w:rPr>
        <w:t>β) Αλλαγής συμφερόντων (π.χ. αγροτικές ομάδες)</w:t>
      </w:r>
    </w:p>
    <w:p w14:paraId="34B6CA5A" w14:textId="63FA5126" w:rsidR="00A472A3" w:rsidRDefault="00A472A3" w:rsidP="0072227F">
      <w:pPr>
        <w:rPr>
          <w:sz w:val="28"/>
          <w:szCs w:val="28"/>
        </w:rPr>
      </w:pPr>
      <w:r>
        <w:rPr>
          <w:sz w:val="28"/>
          <w:szCs w:val="28"/>
        </w:rPr>
        <w:t>γ) Αλλαγή κοινωνικών συνθηκών (π.χ. αντιδικτατορικές ομάδες)</w:t>
      </w:r>
    </w:p>
    <w:p w14:paraId="6EF736CF" w14:textId="77777777" w:rsidR="00A472A3" w:rsidRDefault="00A472A3" w:rsidP="0072227F">
      <w:pPr>
        <w:rPr>
          <w:sz w:val="28"/>
          <w:szCs w:val="28"/>
        </w:rPr>
      </w:pPr>
    </w:p>
    <w:p w14:paraId="6C1802E5" w14:textId="192EAD95" w:rsidR="00A472A3" w:rsidRDefault="00A472A3" w:rsidP="0072227F">
      <w:pPr>
        <w:rPr>
          <w:i/>
          <w:iCs/>
          <w:sz w:val="28"/>
          <w:szCs w:val="28"/>
        </w:rPr>
      </w:pPr>
      <w:r w:rsidRPr="00A472A3">
        <w:rPr>
          <w:i/>
          <w:iCs/>
          <w:sz w:val="28"/>
          <w:szCs w:val="28"/>
        </w:rPr>
        <w:t>ΠΡΟΣΘΕΤΕΣ ΠΛΗΡΟΦΟΡΙΕΣ</w:t>
      </w:r>
    </w:p>
    <w:p w14:paraId="778B9462" w14:textId="27737B51" w:rsidR="00A472A3" w:rsidRDefault="00A472A3" w:rsidP="00A472A3">
      <w:pPr>
        <w:pStyle w:val="ListParagraph"/>
        <w:numPr>
          <w:ilvl w:val="0"/>
          <w:numId w:val="5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Ομάδες πίεσης: οργανωμένες ομάδες πολιτών που σκοπεύουν μέσω της άσκησης πίεσης στην πολιτική εξουσία, να προωθήσουν τα συμφέροντα μιας συγκεκριμένης κοινωνικής ομάδας (π.χ. ενώσεις καταναλωτών)</w:t>
      </w:r>
    </w:p>
    <w:p w14:paraId="26847D49" w14:textId="1E1B471A" w:rsidR="00A472A3" w:rsidRPr="00A472A3" w:rsidRDefault="00A472A3" w:rsidP="00A472A3">
      <w:pPr>
        <w:pStyle w:val="ListParagraph"/>
        <w:numPr>
          <w:ilvl w:val="0"/>
          <w:numId w:val="5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Κίνημα: σύνολο των οργανώσεων</w:t>
      </w:r>
      <w:r w:rsidR="002F3842">
        <w:rPr>
          <w:i/>
          <w:iCs/>
          <w:sz w:val="28"/>
          <w:szCs w:val="28"/>
        </w:rPr>
        <w:t xml:space="preserve"> ενεργών πολιτών που αναπτύσσουν συλλογική δράση και μέσω του δημοκρατικού διαλόγου προωθούν αιτήματα, κατά κανόνα γενικού συμφέροντος προκειμένου να επηρεάσουν τη διαμόρφωση των πολιτικών αποφάσεων (π.χ. κίνημα προστασίας ανθρωπίνων δικαιωμάτων)</w:t>
      </w:r>
    </w:p>
    <w:sectPr w:rsidR="00A472A3" w:rsidRPr="00A472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696A"/>
    <w:multiLevelType w:val="hybridMultilevel"/>
    <w:tmpl w:val="9F3676E0"/>
    <w:lvl w:ilvl="0" w:tplc="B216A38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2181"/>
    <w:multiLevelType w:val="hybridMultilevel"/>
    <w:tmpl w:val="647A02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22D0E"/>
    <w:multiLevelType w:val="hybridMultilevel"/>
    <w:tmpl w:val="42E0DDA8"/>
    <w:lvl w:ilvl="0" w:tplc="B216A38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952AC"/>
    <w:multiLevelType w:val="hybridMultilevel"/>
    <w:tmpl w:val="BC0EED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A319AF"/>
    <w:multiLevelType w:val="hybridMultilevel"/>
    <w:tmpl w:val="E5A2151E"/>
    <w:lvl w:ilvl="0" w:tplc="B216A38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224346">
    <w:abstractNumId w:val="0"/>
  </w:num>
  <w:num w:numId="2" w16cid:durableId="606666757">
    <w:abstractNumId w:val="4"/>
  </w:num>
  <w:num w:numId="3" w16cid:durableId="2145270825">
    <w:abstractNumId w:val="1"/>
  </w:num>
  <w:num w:numId="4" w16cid:durableId="991713364">
    <w:abstractNumId w:val="3"/>
  </w:num>
  <w:num w:numId="5" w16cid:durableId="54816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CF"/>
    <w:rsid w:val="002671DF"/>
    <w:rsid w:val="00286703"/>
    <w:rsid w:val="002F3842"/>
    <w:rsid w:val="0034465A"/>
    <w:rsid w:val="0072227F"/>
    <w:rsid w:val="0072435F"/>
    <w:rsid w:val="008F2870"/>
    <w:rsid w:val="009D3FCF"/>
    <w:rsid w:val="00A472A3"/>
    <w:rsid w:val="00B7617B"/>
    <w:rsid w:val="00DE25C7"/>
    <w:rsid w:val="00DF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56C5"/>
  <w15:chartTrackingRefBased/>
  <w15:docId w15:val="{CE84CD5E-6C21-44F5-9851-EB9C802F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FCF"/>
  </w:style>
  <w:style w:type="paragraph" w:styleId="Heading1">
    <w:name w:val="heading 1"/>
    <w:basedOn w:val="Normal"/>
    <w:next w:val="Normal"/>
    <w:link w:val="Heading1Char"/>
    <w:uiPriority w:val="9"/>
    <w:qFormat/>
    <w:rsid w:val="009D3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F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F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F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F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F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F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F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F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F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F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F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422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Βασταρδή</dc:creator>
  <cp:keywords/>
  <dc:description/>
  <cp:lastModifiedBy>Μαρία Βασταρδή</cp:lastModifiedBy>
  <cp:revision>2</cp:revision>
  <dcterms:created xsi:type="dcterms:W3CDTF">2024-10-14T23:46:00Z</dcterms:created>
  <dcterms:modified xsi:type="dcterms:W3CDTF">2024-10-15T00:41:00Z</dcterms:modified>
</cp:coreProperties>
</file>