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19" w:rsidRDefault="00FB626F" w:rsidP="00FB626F">
      <w:pPr>
        <w:jc w:val="center"/>
        <w:rPr>
          <w:b/>
          <w:sz w:val="28"/>
        </w:rPr>
      </w:pPr>
      <w:r w:rsidRPr="00FB626F">
        <w:rPr>
          <w:b/>
          <w:sz w:val="28"/>
        </w:rPr>
        <w:t>Ποιητικό αίτιο-Μετατροπή ενεργητικής σε παθητική σύνταξη</w:t>
      </w:r>
    </w:p>
    <w:p w:rsidR="00FB626F" w:rsidRDefault="00FB626F" w:rsidP="00FB626F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ind w:right="75"/>
        <w:jc w:val="both"/>
        <w:rPr>
          <w:rFonts w:ascii="Calibri" w:eastAsia="Times New Roman" w:hAnsi="Calibri" w:cs="Calibri"/>
          <w:color w:val="000000"/>
          <w:sz w:val="24"/>
          <w:szCs w:val="32"/>
          <w:lang w:eastAsia="el-GR"/>
        </w:rPr>
      </w:pPr>
      <w:r w:rsidRPr="00FB626F">
        <w:rPr>
          <w:rFonts w:ascii="Calibri" w:eastAsia="Times New Roman" w:hAnsi="Calibri" w:cs="Calibri"/>
          <w:color w:val="000000"/>
          <w:sz w:val="24"/>
          <w:szCs w:val="32"/>
          <w:lang w:eastAsia="el-GR"/>
        </w:rPr>
        <w:t>Τα ρήματα παθητικής διάθεσης φανερώνουν ότι το υποκείμενό τους δέχεται μία ενέργεια από ένα άλλο πρόσωπο ή πράγμα. Ο συντακτικός όρος ο οποίος δηλώνει αυτό το πρόσωπο ή το πράγμα ονομάζεται </w:t>
      </w:r>
      <w:r w:rsidRPr="00FB626F">
        <w:rPr>
          <w:rFonts w:ascii="Calibri" w:eastAsia="Times New Roman" w:hAnsi="Calibri" w:cs="Calibri"/>
          <w:b/>
          <w:bCs/>
          <w:color w:val="000000"/>
          <w:sz w:val="24"/>
          <w:szCs w:val="32"/>
          <w:lang w:eastAsia="el-GR"/>
        </w:rPr>
        <w:t>ποιητικό αίτιο</w:t>
      </w:r>
      <w:r w:rsidRPr="00FB626F">
        <w:rPr>
          <w:rFonts w:ascii="Calibri" w:eastAsia="Times New Roman" w:hAnsi="Calibri" w:cs="Calibri"/>
          <w:color w:val="000000"/>
          <w:sz w:val="24"/>
          <w:szCs w:val="32"/>
          <w:lang w:eastAsia="el-GR"/>
        </w:rPr>
        <w:t xml:space="preserve">. </w:t>
      </w:r>
    </w:p>
    <w:p w:rsidR="00FB626F" w:rsidRPr="00FB626F" w:rsidRDefault="00FB626F" w:rsidP="00FB626F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ind w:right="75"/>
        <w:jc w:val="both"/>
        <w:rPr>
          <w:rFonts w:ascii="Calibri" w:eastAsia="Times New Roman" w:hAnsi="Calibri" w:cs="Calibri"/>
          <w:color w:val="000000"/>
          <w:sz w:val="24"/>
          <w:szCs w:val="32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32"/>
          <w:lang w:eastAsia="el-GR"/>
        </w:rPr>
        <w:t xml:space="preserve">Η </w:t>
      </w:r>
      <w:r w:rsidRPr="00FB626F">
        <w:rPr>
          <w:rFonts w:ascii="Calibri" w:eastAsia="Times New Roman" w:hAnsi="Calibri" w:cs="Calibri"/>
          <w:color w:val="000000"/>
          <w:sz w:val="24"/>
          <w:szCs w:val="32"/>
          <w:lang w:eastAsia="el-GR"/>
        </w:rPr>
        <w:t>συνηθέστερη μορφή του</w:t>
      </w:r>
      <w:r>
        <w:rPr>
          <w:rFonts w:ascii="Calibri" w:eastAsia="Times New Roman" w:hAnsi="Calibri" w:cs="Calibri"/>
          <w:color w:val="000000"/>
          <w:sz w:val="24"/>
          <w:szCs w:val="32"/>
          <w:lang w:eastAsia="el-GR"/>
        </w:rPr>
        <w:t xml:space="preserve"> ποιητικού αιτίου είναι</w:t>
      </w:r>
      <w:r w:rsidRPr="00FB626F">
        <w:rPr>
          <w:rFonts w:ascii="Calibri" w:eastAsia="Times New Roman" w:hAnsi="Calibri" w:cs="Calibri"/>
          <w:b/>
          <w:bCs/>
          <w:color w:val="000000"/>
          <w:sz w:val="24"/>
          <w:szCs w:val="32"/>
          <w:lang w:eastAsia="el-GR"/>
        </w:rPr>
        <w:t xml:space="preserve"> </w:t>
      </w:r>
      <w:proofErr w:type="spellStart"/>
      <w:r w:rsidRPr="00FB626F">
        <w:rPr>
          <w:rFonts w:ascii="Calibri" w:eastAsia="Times New Roman" w:hAnsi="Calibri" w:cs="Calibri"/>
          <w:b/>
          <w:bCs/>
          <w:color w:val="000000"/>
          <w:sz w:val="24"/>
          <w:szCs w:val="32"/>
          <w:lang w:eastAsia="el-GR"/>
        </w:rPr>
        <w:t>ὑπό</w:t>
      </w:r>
      <w:proofErr w:type="spellEnd"/>
      <w:r w:rsidRPr="00FB626F">
        <w:rPr>
          <w:rFonts w:ascii="Calibri" w:eastAsia="Times New Roman" w:hAnsi="Calibri" w:cs="Calibri"/>
          <w:b/>
          <w:bCs/>
          <w:color w:val="000000"/>
          <w:sz w:val="24"/>
          <w:szCs w:val="32"/>
          <w:lang w:eastAsia="el-GR"/>
        </w:rPr>
        <w:t xml:space="preserve"> + γενική</w:t>
      </w:r>
      <w:r w:rsidRPr="00FB626F">
        <w:rPr>
          <w:rFonts w:ascii="Calibri" w:eastAsia="Times New Roman" w:hAnsi="Calibri" w:cs="Calibri"/>
          <w:color w:val="000000"/>
          <w:sz w:val="24"/>
          <w:szCs w:val="32"/>
          <w:lang w:eastAsia="el-GR"/>
        </w:rPr>
        <w:t> (πβ. ν.ε.: Σώθηκε από τον ναυαγοσώστη). Άλλες </w:t>
      </w:r>
      <w:r w:rsidRPr="00FB626F">
        <w:rPr>
          <w:rFonts w:ascii="Calibri" w:eastAsia="Times New Roman" w:hAnsi="Calibri" w:cs="Calibri"/>
          <w:b/>
          <w:bCs/>
          <w:color w:val="000000"/>
          <w:sz w:val="24"/>
          <w:szCs w:val="32"/>
          <w:lang w:eastAsia="el-GR"/>
        </w:rPr>
        <w:t>μορφές ποιητικού αιτίου</w:t>
      </w:r>
      <w:r w:rsidRPr="00FB626F">
        <w:rPr>
          <w:rFonts w:ascii="Calibri" w:eastAsia="Times New Roman" w:hAnsi="Calibri" w:cs="Calibri"/>
          <w:color w:val="000000"/>
          <w:sz w:val="24"/>
          <w:szCs w:val="32"/>
          <w:lang w:eastAsia="el-GR"/>
        </w:rPr>
        <w:t> είναι οι ακόλουθες:</w:t>
      </w:r>
    </w:p>
    <w:p w:rsidR="00FB626F" w:rsidRPr="00FB626F" w:rsidRDefault="00FB626F" w:rsidP="00FB626F">
      <w:pPr>
        <w:shd w:val="clear" w:color="auto" w:fill="FFFFFF"/>
        <w:spacing w:after="0" w:line="416" w:lineRule="atLeast"/>
        <w:ind w:left="225" w:right="75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FB626F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 </w:t>
      </w:r>
    </w:p>
    <w:tbl>
      <w:tblPr>
        <w:tblW w:w="111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5982"/>
        <w:gridCol w:w="3326"/>
      </w:tblGrid>
      <w:tr w:rsidR="00FB626F" w:rsidRPr="00FB626F" w:rsidTr="00FB626F">
        <w:trPr>
          <w:trHeight w:val="2766"/>
          <w:jc w:val="center"/>
        </w:trPr>
        <w:tc>
          <w:tcPr>
            <w:tcW w:w="1817" w:type="dxa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lang w:eastAsia="el-GR"/>
              </w:rPr>
              <w:t>ὑπό</w:t>
            </w:r>
            <w:proofErr w:type="spellEnd"/>
            <w:r w:rsidRPr="00FB626F">
              <w:rPr>
                <w:rFonts w:ascii="Calibri" w:eastAsia="Times New Roman" w:hAnsi="Calibri" w:cs="Calibri"/>
                <w:lang w:eastAsia="el-GR"/>
              </w:rPr>
              <w:br/>
            </w: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lang w:eastAsia="el-GR"/>
              </w:rPr>
              <w:t>ἀπό</w:t>
            </w:r>
            <w:proofErr w:type="spellEnd"/>
            <w:r w:rsidRPr="00FB626F">
              <w:rPr>
                <w:rFonts w:ascii="Calibri" w:eastAsia="Times New Roman" w:hAnsi="Calibri" w:cs="Calibri"/>
                <w:lang w:eastAsia="el-GR"/>
              </w:rPr>
              <w:br/>
            </w: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lang w:eastAsia="el-GR"/>
              </w:rPr>
              <w:t>ἐκ</w:t>
            </w:r>
            <w:proofErr w:type="spellEnd"/>
            <w:r w:rsidRPr="00FB626F">
              <w:rPr>
                <w:rFonts w:ascii="Calibri" w:eastAsia="Times New Roman" w:hAnsi="Calibri" w:cs="Calibri"/>
                <w:lang w:eastAsia="el-GR"/>
              </w:rPr>
              <w:br/>
            </w:r>
            <w:r w:rsidRPr="00FB626F">
              <w:rPr>
                <w:rFonts w:ascii="Calibri" w:eastAsia="Times New Roman" w:hAnsi="Calibri" w:cs="Calibri"/>
                <w:b/>
                <w:bCs/>
                <w:lang w:eastAsia="el-GR"/>
              </w:rPr>
              <w:t>παρά</w:t>
            </w:r>
            <w:r w:rsidRPr="00FB626F">
              <w:rPr>
                <w:rFonts w:ascii="Calibri" w:eastAsia="Times New Roman" w:hAnsi="Calibri" w:cs="Calibri"/>
                <w:lang w:eastAsia="el-GR"/>
              </w:rPr>
              <w:br/>
            </w: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lang w:eastAsia="el-GR"/>
              </w:rPr>
              <w:t>πρός</w:t>
            </w:r>
            <w:proofErr w:type="spellEnd"/>
          </w:p>
        </w:tc>
        <w:tc>
          <w:tcPr>
            <w:tcW w:w="598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lang w:eastAsia="el-GR"/>
              </w:rPr>
            </w:pPr>
            <w:r w:rsidRPr="00FB626F">
              <w:rPr>
                <w:rFonts w:ascii="Calibri" w:eastAsia="Times New Roman" w:hAnsi="Calibri" w:cs="Calibri"/>
                <w:b/>
                <w:bCs/>
                <w:lang w:eastAsia="el-GR"/>
              </w:rPr>
              <w:t>+ γενική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ἐγκαταλαμβάνεται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 </w:t>
            </w: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ὑπὸ</w:t>
            </w:r>
            <w:proofErr w:type="spellEnd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 xml:space="preserve"> </w:t>
            </w: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τοῦ</w:t>
            </w:r>
            <w:proofErr w:type="spellEnd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 xml:space="preserve"> πυρός</w:t>
            </w:r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 (θα παγιδευόταν </w:t>
            </w:r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από τη φωτιά</w:t>
            </w:r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)</w:t>
            </w:r>
            <w:r w:rsidRPr="00FB626F">
              <w:rPr>
                <w:rFonts w:ascii="Calibri" w:eastAsia="Times New Roman" w:hAnsi="Calibri" w:cs="Calibri"/>
                <w:lang w:eastAsia="el-GR"/>
              </w:rPr>
              <w:br/>
            </w: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Ὠφεληθησόμεθα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 </w:t>
            </w: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ἀπὸ</w:t>
            </w:r>
            <w:proofErr w:type="spellEnd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 xml:space="preserve"> </w:t>
            </w: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τῶν</w:t>
            </w:r>
            <w:proofErr w:type="spellEnd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 xml:space="preserve"> </w:t>
            </w: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ποιητῶν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. (θα ωφεληθούμε </w:t>
            </w:r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από τους ποιητές</w:t>
            </w:r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)</w:t>
            </w:r>
            <w:r w:rsidRPr="00FB626F">
              <w:rPr>
                <w:rFonts w:ascii="Calibri" w:eastAsia="Times New Roman" w:hAnsi="Calibri" w:cs="Calibri"/>
                <w:lang w:eastAsia="el-GR"/>
              </w:rPr>
              <w:br/>
            </w:r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 xml:space="preserve">Ἡ </w:t>
            </w: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νῆσος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 xml:space="preserve"> </w:t>
            </w: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δῶρον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 </w:t>
            </w: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ἐκ</w:t>
            </w:r>
            <w:proofErr w:type="spellEnd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 xml:space="preserve"> βασιλέως</w:t>
            </w:r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 </w:t>
            </w: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ἐδόθη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. (Το νησί δόθηκε δώρο </w:t>
            </w:r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από τον βασιλιά</w:t>
            </w:r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)</w:t>
            </w:r>
            <w:r w:rsidRPr="00FB626F">
              <w:rPr>
                <w:rFonts w:ascii="Calibri" w:eastAsia="Times New Roman" w:hAnsi="Calibri" w:cs="Calibri"/>
                <w:lang w:eastAsia="el-GR"/>
              </w:rPr>
              <w:br/>
            </w: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Παρὰ</w:t>
            </w:r>
            <w:proofErr w:type="spellEnd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 xml:space="preserve"> πάντων</w:t>
            </w:r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 </w:t>
            </w: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ὁμολογεῖται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 xml:space="preserve"> </w:t>
            </w: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ὅτι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... (Ομολογείται </w:t>
            </w:r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από όλους</w:t>
            </w:r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 ότι...</w:t>
            </w:r>
            <w:r w:rsidRPr="00FB626F">
              <w:rPr>
                <w:rFonts w:ascii="Calibri" w:eastAsia="Times New Roman" w:hAnsi="Calibri" w:cs="Calibri"/>
                <w:lang w:eastAsia="el-GR"/>
              </w:rPr>
              <w:br/>
            </w: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Τὴν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 xml:space="preserve"> </w:t>
            </w: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κιβωτὸν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 xml:space="preserve"> </w:t>
            </w: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ἤκουσεν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 xml:space="preserve"> </w:t>
            </w: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ᾐχμαλωτίσθαι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 </w:t>
            </w: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πρὸς</w:t>
            </w:r>
            <w:proofErr w:type="spellEnd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 xml:space="preserve"> </w:t>
            </w: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τῶν</w:t>
            </w:r>
            <w:proofErr w:type="spellEnd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 xml:space="preserve"> πολεμίων.</w:t>
            </w:r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 (Άκουσε ότι η κιβωτός αιχμαλωτίστηκε </w:t>
            </w:r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από τους εχθρούς</w:t>
            </w:r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)</w:t>
            </w:r>
            <w:r w:rsidRPr="00FB626F">
              <w:rPr>
                <w:rFonts w:ascii="Calibri" w:eastAsia="Times New Roman" w:hAnsi="Calibri" w:cs="Calibri"/>
                <w:lang w:eastAsia="el-GR"/>
              </w:rPr>
              <w:t>  </w:t>
            </w:r>
          </w:p>
        </w:tc>
      </w:tr>
      <w:tr w:rsidR="00FB626F" w:rsidRPr="00FB626F" w:rsidTr="00FB626F">
        <w:trPr>
          <w:trHeight w:val="1106"/>
          <w:jc w:val="center"/>
        </w:trPr>
        <w:tc>
          <w:tcPr>
            <w:tcW w:w="0" w:type="auto"/>
            <w:gridSpan w:val="2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lang w:eastAsia="el-GR"/>
              </w:rPr>
            </w:pPr>
            <w:r w:rsidRPr="00FB626F">
              <w:rPr>
                <w:rFonts w:ascii="Calibri" w:eastAsia="Times New Roman" w:hAnsi="Calibri" w:cs="Calibri"/>
                <w:b/>
                <w:bCs/>
                <w:lang w:eastAsia="el-GR"/>
              </w:rPr>
              <w:t>απρόθετη δοτική</w:t>
            </w:r>
            <w:r w:rsidRPr="00FB626F">
              <w:rPr>
                <w:rFonts w:ascii="Calibri" w:eastAsia="Times New Roman" w:hAnsi="Calibri" w:cs="Calibri"/>
                <w:lang w:eastAsia="el-GR"/>
              </w:rPr>
              <w:t>, συνήθως με παρακ., υπερσ. ή συντ. μέλλ.</w:t>
            </w:r>
            <w:r w:rsidRPr="00FB626F">
              <w:rPr>
                <w:rFonts w:ascii="Calibri" w:eastAsia="Times New Roman" w:hAnsi="Calibri" w:cs="Calibri"/>
                <w:lang w:eastAsia="el-GR"/>
              </w:rPr>
              <w:br/>
              <w:t>ή με ρηματικό επίθετο σε -</w:t>
            </w: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τὸς</w:t>
            </w:r>
            <w:proofErr w:type="spellEnd"/>
            <w:r w:rsidRPr="00FB626F">
              <w:rPr>
                <w:rFonts w:ascii="Calibri" w:eastAsia="Times New Roman" w:hAnsi="Calibri" w:cs="Calibri"/>
                <w:lang w:eastAsia="el-GR"/>
              </w:rPr>
              <w:t> ή -</w:t>
            </w: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τέος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Ταῦτα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 xml:space="preserve"> </w:t>
            </w: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ὡμολόγητο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 </w:t>
            </w: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ἡμῖν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 xml:space="preserve"> τε </w:t>
            </w: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καὶ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 </w:t>
            </w:r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σοί</w:t>
            </w:r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. (Αυτά έχουν συμφωνηθεί </w:t>
            </w:r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από εμάς και από σένα</w:t>
            </w:r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)</w:t>
            </w:r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br/>
              <w:t xml:space="preserve">Ὁ ποταμός </w:t>
            </w: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ἐστιν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 </w:t>
            </w: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ἡμῖν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 </w:t>
            </w: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διαβατέος</w:t>
            </w:r>
            <w:proofErr w:type="spellEnd"/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. (Ο ποταμός είναι διαβατός </w:t>
            </w:r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από εμάς</w:t>
            </w:r>
            <w:r w:rsidRPr="00FB626F">
              <w:rPr>
                <w:rFonts w:ascii="Calibri" w:eastAsia="Times New Roman" w:hAnsi="Calibri" w:cs="Calibri"/>
                <w:i/>
                <w:iCs/>
                <w:lang w:eastAsia="el-GR"/>
              </w:rPr>
              <w:t>)</w:t>
            </w:r>
          </w:p>
        </w:tc>
      </w:tr>
    </w:tbl>
    <w:p w:rsidR="00FB626F" w:rsidRDefault="00FB626F" w:rsidP="00FB626F">
      <w:pPr>
        <w:rPr>
          <w:b/>
          <w:sz w:val="28"/>
        </w:rPr>
      </w:pPr>
    </w:p>
    <w:p w:rsidR="00FB626F" w:rsidRDefault="00FB626F" w:rsidP="00FB626F">
      <w:pPr>
        <w:pStyle w:val="a3"/>
        <w:numPr>
          <w:ilvl w:val="0"/>
          <w:numId w:val="2"/>
        </w:numPr>
      </w:pPr>
      <w:r w:rsidRPr="00FB626F">
        <w:lastRenderedPageBreak/>
        <w:t>Για να μετατρέψω την</w:t>
      </w:r>
      <w:r>
        <w:t xml:space="preserve"> ενεργητική σε παθητική σύνταξη, το Υπ. μετατρέπεται σε ποιητικό αίτιο και το Αντ. γίνεται Υπ. σε Ονομαστική. Το ρήμα μετατρέπεται σε Μέση ή Παθητική φωνή:</w:t>
      </w:r>
    </w:p>
    <w:tbl>
      <w:tblPr>
        <w:tblW w:w="0" w:type="dxa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31"/>
        <w:gridCol w:w="1460"/>
        <w:gridCol w:w="1421"/>
        <w:gridCol w:w="1321"/>
        <w:gridCol w:w="1257"/>
      </w:tblGrid>
      <w:tr w:rsidR="00FB626F" w:rsidRPr="00FB626F" w:rsidTr="00FB626F">
        <w:tc>
          <w:tcPr>
            <w:tcW w:w="0" w:type="auto"/>
            <w:gridSpan w:val="3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</w:pPr>
            <w:r w:rsidRPr="00FB62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0"/>
                <w:lang w:eastAsia="el-GR"/>
              </w:rPr>
              <w:t>ενεργητική σύνταξη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</w:pPr>
            <w:r w:rsidRPr="00FB62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0"/>
                <w:lang w:eastAsia="el-GR"/>
              </w:rPr>
              <w:t>παθητική σύνταξη</w:t>
            </w:r>
          </w:p>
        </w:tc>
      </w:tr>
      <w:tr w:rsidR="00FB626F" w:rsidRPr="00FB626F" w:rsidTr="00FB626F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</w:pPr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30"/>
                <w:lang w:eastAsia="el-GR"/>
              </w:rPr>
              <w:t xml:space="preserve">Ὁ </w:t>
            </w: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30"/>
                <w:lang w:eastAsia="el-GR"/>
              </w:rPr>
              <w:t>βασιλεὺς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</w:pP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30"/>
                <w:lang w:eastAsia="el-GR"/>
              </w:rPr>
              <w:t>ἐδίωκε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</w:pP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30"/>
                <w:lang w:eastAsia="el-GR"/>
              </w:rPr>
              <w:t>τοὺς</w:t>
            </w:r>
            <w:proofErr w:type="spellEnd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30"/>
                <w:lang w:eastAsia="el-GR"/>
              </w:rPr>
              <w:t xml:space="preserve"> πολεμίους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</w:pP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30"/>
                <w:lang w:eastAsia="el-GR"/>
              </w:rPr>
              <w:t>Οἱ</w:t>
            </w:r>
            <w:proofErr w:type="spellEnd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30"/>
                <w:lang w:eastAsia="el-GR"/>
              </w:rPr>
              <w:t xml:space="preserve"> πολέμιοι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</w:pPr>
            <w:proofErr w:type="spellStart"/>
            <w:r w:rsidRPr="00FB626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30"/>
                <w:lang w:eastAsia="el-GR"/>
              </w:rPr>
              <w:t>ἐδιώκοντο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</w:pP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30"/>
                <w:lang w:eastAsia="el-GR"/>
              </w:rPr>
              <w:t>ὑπὸ</w:t>
            </w:r>
            <w:proofErr w:type="spellEnd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30"/>
                <w:lang w:eastAsia="el-GR"/>
              </w:rPr>
              <w:t xml:space="preserve"> </w:t>
            </w:r>
            <w:proofErr w:type="spellStart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30"/>
                <w:lang w:eastAsia="el-GR"/>
              </w:rPr>
              <w:t>τοῦ</w:t>
            </w:r>
            <w:proofErr w:type="spellEnd"/>
            <w:r w:rsidRPr="00FB62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30"/>
                <w:lang w:eastAsia="el-GR"/>
              </w:rPr>
              <w:t xml:space="preserve"> βασιλέως</w:t>
            </w:r>
          </w:p>
        </w:tc>
      </w:tr>
      <w:tr w:rsidR="00FB626F" w:rsidRPr="00FB626F" w:rsidTr="00FB626F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</w:pPr>
            <w:r w:rsidRPr="00FB62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0"/>
                <w:lang w:eastAsia="el-GR"/>
              </w:rPr>
              <w:t>υποκείμενο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</w:pPr>
            <w:r w:rsidRPr="00FB626F"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  <w:t>ρήμα ενεργ. διάθεσης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</w:pPr>
            <w:r w:rsidRPr="00FB62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0"/>
                <w:lang w:eastAsia="el-GR"/>
              </w:rPr>
              <w:t>αντικείμενο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</w:pPr>
            <w:r w:rsidRPr="00FB62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0"/>
                <w:lang w:eastAsia="el-GR"/>
              </w:rPr>
              <w:t>υποκείμενο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</w:pPr>
            <w:r w:rsidRPr="00FB626F"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  <w:t>ρήμα παθ. διάθεσης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</w:pPr>
            <w:r w:rsidRPr="00FB62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0"/>
                <w:lang w:eastAsia="el-GR"/>
              </w:rPr>
              <w:t>ποιητικό αίτιο</w:t>
            </w:r>
          </w:p>
        </w:tc>
      </w:tr>
      <w:tr w:rsidR="00FB626F" w:rsidRPr="00FB626F" w:rsidTr="00FB626F">
        <w:tc>
          <w:tcPr>
            <w:tcW w:w="0" w:type="auto"/>
            <w:gridSpan w:val="3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</w:pPr>
            <w:r w:rsidRPr="00FB62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0"/>
                <w:lang w:eastAsia="el-GR"/>
              </w:rPr>
              <w:t>Ο βασιλιάς</w:t>
            </w:r>
            <w:r w:rsidRPr="00FB626F"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  <w:t> καταδίωκε </w:t>
            </w:r>
            <w:r w:rsidRPr="00FB62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0"/>
                <w:lang w:eastAsia="el-GR"/>
              </w:rPr>
              <w:t>τους εχθρούς</w:t>
            </w:r>
          </w:p>
        </w:tc>
        <w:tc>
          <w:tcPr>
            <w:tcW w:w="0" w:type="auto"/>
            <w:gridSpan w:val="3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26F" w:rsidRPr="00FB626F" w:rsidRDefault="00FB626F" w:rsidP="00FB626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</w:pPr>
            <w:r w:rsidRPr="00FB62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0"/>
                <w:lang w:eastAsia="el-GR"/>
              </w:rPr>
              <w:t>Οι εχθροί </w:t>
            </w:r>
            <w:r w:rsidRPr="00FB626F">
              <w:rPr>
                <w:rFonts w:ascii="Calibri" w:eastAsia="Times New Roman" w:hAnsi="Calibri" w:cs="Calibri"/>
                <w:color w:val="000000"/>
                <w:sz w:val="24"/>
                <w:szCs w:val="30"/>
                <w:lang w:eastAsia="el-GR"/>
              </w:rPr>
              <w:t>καταδιώκονταν </w:t>
            </w:r>
            <w:r w:rsidRPr="00FB62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0"/>
                <w:lang w:eastAsia="el-GR"/>
              </w:rPr>
              <w:t>από τον βασιλιά</w:t>
            </w:r>
          </w:p>
        </w:tc>
        <w:bookmarkStart w:id="0" w:name="_GoBack"/>
        <w:bookmarkEnd w:id="0"/>
      </w:tr>
    </w:tbl>
    <w:p w:rsidR="00FB626F" w:rsidRPr="00FB626F" w:rsidRDefault="00FB626F" w:rsidP="00FB626F"/>
    <w:sectPr w:rsidR="00FB626F" w:rsidRPr="00FB62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C6A77"/>
    <w:multiLevelType w:val="hybridMultilevel"/>
    <w:tmpl w:val="311AF7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830CC"/>
    <w:multiLevelType w:val="hybridMultilevel"/>
    <w:tmpl w:val="9DA403D8"/>
    <w:lvl w:ilvl="0" w:tplc="0408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6F"/>
    <w:rsid w:val="00691119"/>
    <w:rsid w:val="00FB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57000-4557-4B32-8B4A-E9893789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2025-05-22T18:53:00Z</dcterms:created>
  <dcterms:modified xsi:type="dcterms:W3CDTF">2025-05-22T18:59:00Z</dcterms:modified>
</cp:coreProperties>
</file>