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F7" w:rsidRPr="00722B5A" w:rsidRDefault="00ED24F7" w:rsidP="00722B5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722B5A">
        <w:rPr>
          <w:rFonts w:ascii="Comic Sans MS" w:hAnsi="Comic Sans MS"/>
          <w:b/>
          <w:sz w:val="24"/>
          <w:szCs w:val="24"/>
        </w:rPr>
        <w:t>ΤΡΟΠΟΣ ΣΥΜΠΤΥΞΗΣ ΔΕΥΤΕΡΕΥΟΥΣΑΣ ΠΡΟΤΑΣΗΣ ΣΕ ΜΕΤΟΧΗ</w:t>
      </w:r>
    </w:p>
    <w:p w:rsidR="00ED24F7" w:rsidRPr="00722B5A" w:rsidRDefault="00ED24F7" w:rsidP="00722B5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722B5A">
        <w:rPr>
          <w:rFonts w:ascii="Comic Sans MS" w:hAnsi="Comic Sans MS"/>
          <w:b/>
          <w:sz w:val="24"/>
          <w:szCs w:val="24"/>
        </w:rPr>
        <w:t>(ΜΕΤΑΤΡΟΠΗ ΔΕΥΤΕΡΕΥΟΥΣΑΣ ΠΡΟΤΑΣΗΣ ΣΕ ΜΕΤΟΧΗ)</w:t>
      </w:r>
    </w:p>
    <w:p w:rsidR="00ED24F7" w:rsidRPr="00722B5A" w:rsidRDefault="00ED24F7" w:rsidP="00722B5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b/>
          <w:sz w:val="24"/>
          <w:szCs w:val="24"/>
        </w:rPr>
        <w:t>1.Ποιου χρόνου μετοχή θα χρησιμοποιήσω ;</w:t>
      </w:r>
      <w:r w:rsidRPr="00722B5A">
        <w:rPr>
          <w:rFonts w:ascii="Comic Sans MS" w:hAnsi="Comic Sans MS"/>
          <w:sz w:val="24"/>
          <w:szCs w:val="24"/>
        </w:rPr>
        <w:t xml:space="preserve">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Αν το ρ. είναι Ενεστώτα/Παρατατικού η δευτερεύουσα θα συμπτυχθεί σε μτχ. Ενεστώτα (σύγχρονο)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Αν το ρ. είναι Μέλλοντα η δευτερεύουσα θα συμπτυχθεί σε μτχ. Μέλλοντα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Αν το ρ. είναι Παρακειμένου/Υπερσυντελίκου η δευτερεύουσα θα συμπτυχθεί σε παθητική μτχ. Παρακειμένου (</w:t>
      </w:r>
      <w:proofErr w:type="spellStart"/>
      <w:r w:rsidRPr="00722B5A">
        <w:rPr>
          <w:rFonts w:ascii="Comic Sans MS" w:hAnsi="Comic Sans MS"/>
          <w:sz w:val="24"/>
          <w:szCs w:val="24"/>
        </w:rPr>
        <w:t>προτερόχρονο</w:t>
      </w:r>
      <w:proofErr w:type="spellEnd"/>
      <w:r w:rsidRPr="00722B5A">
        <w:rPr>
          <w:rFonts w:ascii="Comic Sans MS" w:hAnsi="Comic Sans MS"/>
          <w:sz w:val="24"/>
          <w:szCs w:val="24"/>
        </w:rPr>
        <w:t xml:space="preserve">)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b/>
          <w:sz w:val="24"/>
          <w:szCs w:val="24"/>
        </w:rPr>
        <w:t>2.Η μετοχή που θα χρησιμοποιήσω θα είναι συνημμένη ή απόλυτη;</w:t>
      </w:r>
      <w:r w:rsidRPr="00722B5A">
        <w:rPr>
          <w:rFonts w:ascii="Comic Sans MS" w:hAnsi="Comic Sans MS"/>
          <w:sz w:val="24"/>
          <w:szCs w:val="24"/>
        </w:rPr>
        <w:t xml:space="preserve">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Το υποκείμενο του ρ. της δευτερεύουσας θα είναι το υποκείμενο της μτχ. που θα φτιάξω.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Εξετάζω, λαμβάνοντας υπόψη μου </w:t>
      </w:r>
      <w:r w:rsidRPr="00722B5A">
        <w:rPr>
          <w:rFonts w:ascii="Comic Sans MS" w:hAnsi="Comic Sans MS"/>
          <w:b/>
          <w:sz w:val="24"/>
          <w:szCs w:val="24"/>
        </w:rPr>
        <w:t>όλη την περίοδο που θα προκύψει</w:t>
      </w:r>
      <w:r w:rsidRPr="00722B5A">
        <w:rPr>
          <w:rFonts w:ascii="Comic Sans MS" w:hAnsi="Comic Sans MS"/>
          <w:sz w:val="24"/>
          <w:szCs w:val="24"/>
        </w:rPr>
        <w:t xml:space="preserve">, αν το υποκείμενο της μτχ. μου: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t xml:space="preserve">Α) έχει και άλλη συντακτική θέση στην πρόταση, </w:t>
      </w:r>
      <w:r w:rsidR="00722B5A" w:rsidRPr="00722B5A">
        <w:rPr>
          <w:rFonts w:ascii="Comic Sans MS" w:hAnsi="Comic Sans MS"/>
          <w:sz w:val="24"/>
          <w:szCs w:val="24"/>
        </w:rPr>
        <w:t>τότε</w:t>
      </w:r>
      <w:r w:rsidRPr="00722B5A">
        <w:rPr>
          <w:rFonts w:ascii="Comic Sans MS" w:hAnsi="Comic Sans MS"/>
          <w:sz w:val="24"/>
          <w:szCs w:val="24"/>
        </w:rPr>
        <w:t xml:space="preserve"> η μτχ. θα είναι συνημμένη και θα τεθεί στο γένος, αριθμό και πτώση του υποκειμένου της.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t xml:space="preserve">Β) δεν έχει και άλλη συντακτική θέση στην πρόταση, </w:t>
      </w:r>
      <w:r w:rsidR="00722B5A" w:rsidRPr="00722B5A">
        <w:rPr>
          <w:rFonts w:ascii="Comic Sans MS" w:hAnsi="Comic Sans MS"/>
          <w:sz w:val="24"/>
          <w:szCs w:val="24"/>
        </w:rPr>
        <w:t>τότε</w:t>
      </w:r>
      <w:r w:rsidRPr="00722B5A">
        <w:rPr>
          <w:rFonts w:ascii="Comic Sans MS" w:hAnsi="Comic Sans MS"/>
          <w:sz w:val="24"/>
          <w:szCs w:val="24"/>
        </w:rPr>
        <w:t xml:space="preserve"> η μτχ. θα είναι απόλυτη και θα τεθεί σε αφαιρετική και αυτή και το υποκείμενό της. </w:t>
      </w:r>
    </w:p>
    <w:p w:rsidR="00722B5A" w:rsidRPr="00722B5A" w:rsidRDefault="00722B5A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ΠΡΟΣΟΧΗ : Αν το ρήμα της δευτερεύουσας είναι συντελικού χρόνου ενεργητικής φωνής (παρακειμένου ή υπερσυντελίκου) θα πρέπει να φτιάξω μτχ. παθητικού παρακειμένου. Δηλαδή, θα μετατρέψω τη σύνταξη σε παθητική και άρα το αντικείμενο της μετοχής θα γίνει υποκείμενο της μετοχής. Στην περίπτωση αυτή η μετοχή που θα προκύψει θα είναι οπωσδήποτε νόθος (ή ιδιάζουσα) αφαιρετική απόλυτη.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b/>
          <w:sz w:val="24"/>
          <w:szCs w:val="24"/>
        </w:rPr>
        <w:t>3.Ποιες προτάσεις μετατρέπονται σε μετοχές;</w:t>
      </w:r>
      <w:r w:rsidRPr="00722B5A">
        <w:rPr>
          <w:rFonts w:ascii="Comic Sans MS" w:hAnsi="Comic Sans MS"/>
          <w:sz w:val="24"/>
          <w:szCs w:val="24"/>
        </w:rPr>
        <w:t xml:space="preserve">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Αναφορικές &gt;&gt; αναφορική ή επιθετική μτχ. (πάντα συνημμένη)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Χρονικές, αιτιολογικές, υποθετικές, εναντιωματικές, τελικές &gt;&gt; αντίστοιχο είδος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sym w:font="Symbol" w:char="F0B7"/>
      </w:r>
      <w:r w:rsidRPr="00722B5A">
        <w:rPr>
          <w:rFonts w:ascii="Comic Sans MS" w:hAnsi="Comic Sans MS"/>
          <w:sz w:val="24"/>
          <w:szCs w:val="24"/>
        </w:rPr>
        <w:t xml:space="preserve"> Δεν μετατρέπονται σε μετοχές : Συμπερασματικές, βουλητικές, ενδοιαστικές, παραβολικές, </w:t>
      </w:r>
      <w:proofErr w:type="spellStart"/>
      <w:r w:rsidRPr="00722B5A">
        <w:rPr>
          <w:rFonts w:ascii="Comic Sans MS" w:hAnsi="Comic Sans MS"/>
          <w:sz w:val="24"/>
          <w:szCs w:val="24"/>
        </w:rPr>
        <w:t>πλ.ερωτηματικές</w:t>
      </w:r>
      <w:proofErr w:type="spellEnd"/>
      <w:r w:rsidRPr="00722B5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22B5A">
        <w:rPr>
          <w:rFonts w:ascii="Comic Sans MS" w:hAnsi="Comic Sans MS"/>
          <w:sz w:val="24"/>
          <w:szCs w:val="24"/>
        </w:rPr>
        <w:t>quominus</w:t>
      </w:r>
      <w:proofErr w:type="spellEnd"/>
      <w:r w:rsidRPr="00722B5A">
        <w:rPr>
          <w:rFonts w:ascii="Comic Sans MS" w:hAnsi="Comic Sans MS"/>
          <w:sz w:val="24"/>
          <w:szCs w:val="24"/>
        </w:rPr>
        <w:t>/</w:t>
      </w:r>
      <w:proofErr w:type="spellStart"/>
      <w:r w:rsidRPr="00722B5A">
        <w:rPr>
          <w:rFonts w:ascii="Comic Sans MS" w:hAnsi="Comic Sans MS"/>
          <w:sz w:val="24"/>
          <w:szCs w:val="24"/>
        </w:rPr>
        <w:t>quin</w:t>
      </w:r>
      <w:proofErr w:type="spellEnd"/>
      <w:r w:rsidRPr="00722B5A">
        <w:rPr>
          <w:rFonts w:ascii="Comic Sans MS" w:hAnsi="Comic Sans MS"/>
          <w:sz w:val="24"/>
          <w:szCs w:val="24"/>
        </w:rPr>
        <w:t xml:space="preserve">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t>4</w:t>
      </w:r>
      <w:r w:rsidRPr="00722B5A">
        <w:rPr>
          <w:rFonts w:ascii="Comic Sans MS" w:hAnsi="Comic Sans MS"/>
          <w:sz w:val="24"/>
          <w:szCs w:val="24"/>
          <w:u w:val="single"/>
        </w:rPr>
        <w:t>.ΠΡΟΣΟΧΗ</w:t>
      </w:r>
      <w:r w:rsidRPr="00722B5A">
        <w:rPr>
          <w:rFonts w:ascii="Comic Sans MS" w:hAnsi="Comic Sans MS"/>
          <w:sz w:val="24"/>
          <w:szCs w:val="24"/>
        </w:rPr>
        <w:t xml:space="preserve"> :Το sum δεν έχει μετοχή Ενεστώτα-μόνο τα σύνθετά του </w:t>
      </w:r>
      <w:proofErr w:type="spellStart"/>
      <w:r w:rsidRPr="00722B5A">
        <w:rPr>
          <w:rFonts w:ascii="Comic Sans MS" w:hAnsi="Comic Sans MS"/>
          <w:sz w:val="24"/>
          <w:szCs w:val="24"/>
        </w:rPr>
        <w:t>absum</w:t>
      </w:r>
      <w:proofErr w:type="spellEnd"/>
      <w:r w:rsidRPr="00722B5A">
        <w:rPr>
          <w:rFonts w:ascii="Comic Sans MS" w:hAnsi="Comic Sans MS"/>
          <w:sz w:val="24"/>
          <w:szCs w:val="24"/>
        </w:rPr>
        <w:t>(</w:t>
      </w:r>
      <w:proofErr w:type="spellStart"/>
      <w:r w:rsidRPr="00722B5A">
        <w:rPr>
          <w:rFonts w:ascii="Comic Sans MS" w:hAnsi="Comic Sans MS"/>
          <w:sz w:val="24"/>
          <w:szCs w:val="24"/>
        </w:rPr>
        <w:t>absens</w:t>
      </w:r>
      <w:proofErr w:type="spellEnd"/>
      <w:r w:rsidRPr="00722B5A">
        <w:rPr>
          <w:rFonts w:ascii="Comic Sans MS" w:hAnsi="Comic Sans MS"/>
          <w:sz w:val="24"/>
          <w:szCs w:val="24"/>
        </w:rPr>
        <w:t>)-</w:t>
      </w:r>
      <w:proofErr w:type="spellStart"/>
      <w:r w:rsidRPr="00722B5A">
        <w:rPr>
          <w:rFonts w:ascii="Comic Sans MS" w:hAnsi="Comic Sans MS"/>
          <w:sz w:val="24"/>
          <w:szCs w:val="24"/>
        </w:rPr>
        <w:t>praesum</w:t>
      </w:r>
      <w:proofErr w:type="spellEnd"/>
      <w:r w:rsidRPr="00722B5A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722B5A">
        <w:rPr>
          <w:rFonts w:ascii="Comic Sans MS" w:hAnsi="Comic Sans MS"/>
          <w:sz w:val="24"/>
          <w:szCs w:val="24"/>
        </w:rPr>
        <w:t>praesens</w:t>
      </w:r>
      <w:proofErr w:type="spellEnd"/>
      <w:r w:rsidRPr="00722B5A">
        <w:rPr>
          <w:rFonts w:ascii="Comic Sans MS" w:hAnsi="Comic Sans MS"/>
          <w:sz w:val="24"/>
          <w:szCs w:val="24"/>
        </w:rPr>
        <w:t xml:space="preserve">) </w:t>
      </w: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A5F23" w:rsidRPr="00722B5A" w:rsidRDefault="00EA5F23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722B5A">
        <w:rPr>
          <w:rFonts w:ascii="Comic Sans MS" w:hAnsi="Comic Sans MS"/>
          <w:sz w:val="24"/>
          <w:szCs w:val="24"/>
        </w:rPr>
        <w:t xml:space="preserve">ΠΑΡΑΔΕΙΓΜΑΤΑ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A5F23" w:rsidRPr="00722B5A" w:rsidTr="00EA5F23"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21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Pisaurum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dicitur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quod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illic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aurum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pensatum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est</w:t>
            </w:r>
            <w:proofErr w:type="spellEnd"/>
          </w:p>
        </w:tc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Pisaurum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dicitur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illic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auro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pensato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  <w:r w:rsidRPr="00722B5A">
              <w:rPr>
                <w:rFonts w:ascii="Comic Sans MS" w:hAnsi="Comic Sans MS"/>
                <w:sz w:val="24"/>
                <w:szCs w:val="24"/>
              </w:rPr>
              <w:t>(αφαιρετική απόλυτος)</w:t>
            </w:r>
          </w:p>
        </w:tc>
      </w:tr>
      <w:tr w:rsidR="00EA5F23" w:rsidRPr="00722B5A" w:rsidTr="00EA5F23"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24 cum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Ennius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[ad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Nasicam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venisset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 xml:space="preserve">et]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ianua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quaereret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>Ennio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ianua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quaerente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(η </w:t>
            </w:r>
            <w:r w:rsidRPr="00722B5A">
              <w:rPr>
                <w:rFonts w:ascii="Comic Sans MS" w:hAnsi="Comic Sans MS"/>
                <w:sz w:val="24"/>
                <w:szCs w:val="24"/>
              </w:rPr>
              <w:lastRenderedPageBreak/>
              <w:t>πρώτη πρόταση δεν μετατρέπεται)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 xml:space="preserve">24 Tum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Ennius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indignatus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quod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Nasica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aperte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mentiebatur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inquit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Tum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Ennius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indignatus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Nasica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aperte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mentiente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inquit</w:t>
            </w:r>
            <w:proofErr w:type="spellEnd"/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 xml:space="preserve">Ego, cum te quaererem, ancillae tuae credidi te domi non esse; </w:t>
            </w:r>
          </w:p>
        </w:tc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Ego te quaerens ancillae tuae credidi te domi non esse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27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Tum Pacuvius dixit sonora quidem esse et grandia quae scripsisset</w:t>
            </w:r>
          </w:p>
        </w:tc>
        <w:tc>
          <w:tcPr>
            <w:tcW w:w="4261" w:type="dxa"/>
          </w:tcPr>
          <w:p w:rsidR="00EA5F23" w:rsidRPr="00722B5A" w:rsidRDefault="00EA5F23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Tum Pacuvius dixit sonora quidem esse et grandia scripta (ab eo)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quae dura et acerba nascuntur post fiunt mitia et iucunda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dura et acerba nascentia post fiunt mitia et iucunda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29 Cum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Octavianus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post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victoriam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Actiacam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Romam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rediret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homo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quidam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occurrit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corvum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tenens 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Octaviano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post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victoriam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Actiacam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Romam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redeunti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homo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quidam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occurrit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corvum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tenens; (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συνημμένη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στο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=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Octaviano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EA5F23" w:rsidRPr="00722B5A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quotiescumque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avis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respondebat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sutor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dicere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solebat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avi</w:t>
            </w:r>
            <w:r w:rsidRPr="00722B5A">
              <w:rPr>
                <w:rFonts w:ascii="Comic Sans MS" w:hAnsi="Comic Sans MS"/>
                <w:sz w:val="24"/>
                <w:szCs w:val="24"/>
              </w:rPr>
              <w:t>(-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e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non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respondente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(αφαιρετική απόλυτος, μετοχή ενεστώτα)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43108E" w:rsidRDefault="00160309" w:rsidP="00722B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>31 Is cum aliquando castris abiret, edixit</w:t>
            </w:r>
          </w:p>
        </w:tc>
        <w:tc>
          <w:tcPr>
            <w:tcW w:w="4261" w:type="dxa"/>
          </w:tcPr>
          <w:p w:rsidR="00EA5F23" w:rsidRPr="0043108E" w:rsidRDefault="00160309" w:rsidP="00722B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>Is aliquando castris abiens, edixit ut ...(</w:t>
            </w:r>
            <w:r w:rsidRPr="00722B5A">
              <w:rPr>
                <w:rFonts w:ascii="Comic Sans MS" w:hAnsi="Comic Sans MS"/>
                <w:sz w:val="24"/>
                <w:szCs w:val="24"/>
              </w:rPr>
              <w:t>χρονική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μετοχή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ενεστώτα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σύγχρονο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συνημμένη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στο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is)</w:t>
            </w:r>
          </w:p>
        </w:tc>
      </w:tr>
      <w:tr w:rsidR="00EA5F23" w:rsidRPr="00722B5A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Sed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consul in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castra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cum in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castra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revertisset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adulescentem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, …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morte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multavit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.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Sed</w:t>
            </w:r>
            <w:proofErr w:type="spellEnd"/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consul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</w:t>
            </w: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castra</w:t>
            </w:r>
            <w:proofErr w:type="spellEnd"/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reversus</w:t>
            </w:r>
            <w:proofErr w:type="spellEnd"/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adulescentem</w:t>
            </w:r>
            <w:proofErr w:type="spellEnd"/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>, …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morte</w:t>
            </w:r>
            <w:proofErr w:type="spellEnd"/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multavit</w:t>
            </w:r>
            <w:proofErr w:type="spellEnd"/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. 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(χρονική μετοχή παρακειμένου,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προτερόχρονο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, συνημμένη στο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consul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– το ρ. είναι αποθετικό-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ημιαποθετικό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και δεν τίθεται ζήτημα μετατροπής της σύνταξης από ενεργητική σε παθητική)</w:t>
            </w:r>
          </w:p>
        </w:tc>
      </w:tr>
      <w:tr w:rsidR="00EA5F23" w:rsidRPr="00722B5A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34 Tum Scipio, cum se ipsum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captum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venisse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eos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existimasset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praesidium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domesticorum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tecto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conlocavit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Tum Scipio se ipsum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captum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venisse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-is)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existimatis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praesidium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domesticorum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tecto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conlocavit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. (</w:t>
            </w:r>
            <w:r w:rsidRPr="00722B5A">
              <w:rPr>
                <w:rFonts w:ascii="Comic Sans MS" w:hAnsi="Comic Sans MS"/>
                <w:sz w:val="24"/>
                <w:szCs w:val="24"/>
              </w:rPr>
              <w:t>νόθος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αφαιρετική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απόλυτος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αιτιολογική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δηλώνει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το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προτερόχρονο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Quod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ut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praedones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animadverterunt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, … ...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appropinquaverunt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et ...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nuntiaverunt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Quo (</w:t>
            </w:r>
            <w:r w:rsidRPr="00722B5A">
              <w:rPr>
                <w:rFonts w:ascii="Comic Sans MS" w:hAnsi="Comic Sans MS"/>
                <w:sz w:val="24"/>
                <w:szCs w:val="24"/>
              </w:rPr>
              <w:t>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animadverso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praedones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...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appropinquaverunt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et ...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nuntiaverunt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...(</w:t>
            </w:r>
            <w:r w:rsidRPr="00722B5A">
              <w:rPr>
                <w:rFonts w:ascii="Comic Sans MS" w:hAnsi="Comic Sans MS"/>
                <w:sz w:val="24"/>
                <w:szCs w:val="24"/>
              </w:rPr>
              <w:t>νόθος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αφαιρετική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απόλυτος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χρονική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δηλώνει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το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προτερόχρονο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EA5F23" w:rsidRPr="00722B5A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Haec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postquam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domestici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Scipioni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rettulerunt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is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fores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resecari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>eosque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intromitti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iussit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 xml:space="preserve">His a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domesticis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Scipioni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relatis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is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fores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resecari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eosque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intromitti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>iussit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. (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αφαιρετική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απόλυτος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χρονική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δηλώνει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το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προτερόχρονο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EA5F23" w:rsidRPr="00722B5A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 xml:space="preserve">Cum ante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vestibulum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dona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posuissent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praedones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domum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reverterunt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4261" w:type="dxa"/>
          </w:tcPr>
          <w:p w:rsidR="00EA5F23" w:rsidRPr="0043108E" w:rsidRDefault="00160309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Ante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vestibulum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donis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positis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…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praedones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domum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reverterunt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  <w:r w:rsidRPr="0043108E">
              <w:rPr>
                <w:rFonts w:ascii="Comic Sans MS" w:hAnsi="Comic Sans MS"/>
                <w:sz w:val="24"/>
                <w:szCs w:val="24"/>
              </w:rPr>
              <w:t>(</w:t>
            </w:r>
            <w:r w:rsidRPr="00722B5A">
              <w:rPr>
                <w:rFonts w:ascii="Comic Sans MS" w:hAnsi="Comic Sans MS"/>
                <w:sz w:val="24"/>
                <w:szCs w:val="24"/>
              </w:rPr>
              <w:t>νόθος</w:t>
            </w:r>
            <w:r w:rsidRPr="004310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αφαιρετική</w:t>
            </w:r>
            <w:r w:rsidRPr="004310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απόλυτος</w:t>
            </w:r>
            <w:r w:rsidRPr="004310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χρονική</w:t>
            </w:r>
            <w:r w:rsidRPr="004310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μετοχή</w:t>
            </w:r>
            <w:r w:rsidRPr="0043108E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δηλώνει</w:t>
            </w:r>
            <w:r w:rsidRPr="004310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το</w:t>
            </w:r>
            <w:r w:rsidRPr="004310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προτερόχρονο</w:t>
            </w:r>
            <w:proofErr w:type="spellEnd"/>
            <w:r w:rsidRPr="0043108E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36 cum ad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magnum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pondus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auri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publice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missum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attulissent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risu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solvit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protinus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dixit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magno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pondere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auri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publice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misso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ad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allato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risu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solvit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protinus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dixit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(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αφαιρετική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απόλυτος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χρονική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παθητικού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παρακειμένου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δηλώνει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το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προτερόχρονο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EA5F23" w:rsidRPr="0043108E" w:rsidTr="00EA5F23"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38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Caecilia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uxor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Metelli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more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prisco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omen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nuptiale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petit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filiae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sororis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ipsa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fecit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omen. </w:t>
            </w:r>
          </w:p>
        </w:tc>
        <w:tc>
          <w:tcPr>
            <w:tcW w:w="4261" w:type="dxa"/>
          </w:tcPr>
          <w:p w:rsidR="00EA5F23" w:rsidRPr="00722B5A" w:rsidRDefault="0016030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Caecilia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uxor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Metelli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more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prisco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omen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nuptiale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petens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filiae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sororis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ipsa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fecit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omen.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quam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Metellus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dum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vixit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amavit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;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quam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Metellus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vivens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amavit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>; (αν και το ρήμα είναι παρακειμένου, μετατρέπουμε σε μετοχή ενεστώτα, γιατί δηλώνεται το σύγχρονο)</w:t>
            </w:r>
          </w:p>
        </w:tc>
      </w:tr>
      <w:tr w:rsidR="00160309" w:rsidRPr="0043108E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Nam mortua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est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Caecilia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Metellus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…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amavit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(</w:t>
            </w:r>
            <w:r w:rsidRPr="00722B5A">
              <w:rPr>
                <w:rFonts w:ascii="Comic Sans MS" w:hAnsi="Comic Sans MS"/>
                <w:sz w:val="24"/>
                <w:szCs w:val="24"/>
              </w:rPr>
              <w:t>αναφορική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πρόταση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Nam mortua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est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Caecilia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Metello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amata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(</w:t>
            </w:r>
            <w:r w:rsidRPr="00722B5A">
              <w:rPr>
                <w:rFonts w:ascii="Comic Sans MS" w:hAnsi="Comic Sans MS"/>
                <w:sz w:val="24"/>
                <w:szCs w:val="24"/>
              </w:rPr>
              <w:t>αναφορική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μετοχή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παθητικού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παρακειμένου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συνημμένη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στο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υποκείμενο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του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ρ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Caecilia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προτερόχρονο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160309" w:rsidRPr="0043108E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42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Nonnulli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in hoc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ordine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qui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aut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ea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quae imminent,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videant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aut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ea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quae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vident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dissimulent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Nonnulli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in hoc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ordine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aut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, quae imminent,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videntes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aut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ea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quae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vident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dissimulentes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.</w:t>
            </w:r>
          </w:p>
        </w:tc>
      </w:tr>
      <w:tr w:rsidR="00160309" w:rsidRPr="0043108E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Nonnulli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in hoc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ordine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qui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aut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quae imminent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videant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…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Nonnulli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sunt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in hoc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ordine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qui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aut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imminentia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videant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…(</w:t>
            </w:r>
            <w:r w:rsidRPr="00722B5A">
              <w:rPr>
                <w:rFonts w:ascii="Comic Sans MS" w:hAnsi="Comic Sans MS"/>
                <w:sz w:val="24"/>
                <w:szCs w:val="24"/>
              </w:rPr>
              <w:t>το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παραλείπεται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Nunc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intellego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si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iste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in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Manliana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castra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pervenerit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quo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intendit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stultum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fore.....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Nunc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intellego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isto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in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Manliana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castra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perventuro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quo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intendit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stultum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fore, qui 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videat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coniurationem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esse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factam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improbum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qui 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fateatur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(αφαιρετική απόλυτος μετοχή μέλλοντα. Η μετοχή μέλλοντα χρησιμοποιείται εδώ, γιατί το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pervenerit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=υποτακτική παρακειμένου σε πλάγιο λόγο, </w:t>
            </w:r>
            <w:r w:rsidRPr="00722B5A">
              <w:rPr>
                <w:rFonts w:ascii="Comic Sans MS" w:hAnsi="Comic Sans MS"/>
                <w:sz w:val="24"/>
                <w:szCs w:val="24"/>
              </w:rPr>
              <w:lastRenderedPageBreak/>
              <w:t>προέρχεται από οριστική συντελεσμένου μέλλοντα στον ευθύ λόγο.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lastRenderedPageBreak/>
              <w:t xml:space="preserve">Nunc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intellego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…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stultum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fore,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qui 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videat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coniurationem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esse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factam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improbum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qui 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fateatur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improbum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videntem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coniurationem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esse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factam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improbum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 xml:space="preserve">non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n-GB"/>
              </w:rPr>
              <w:t>fatentem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. (</w:t>
            </w:r>
            <w:r w:rsidRPr="00722B5A">
              <w:rPr>
                <w:rFonts w:ascii="Comic Sans MS" w:hAnsi="Comic Sans MS"/>
                <w:sz w:val="24"/>
                <w:szCs w:val="24"/>
              </w:rPr>
              <w:t>επιθετικές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μετοχές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συνημμένες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στα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</w:rPr>
              <w:t>δύο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neminem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)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 xml:space="preserve">43 Qui potuisti populari hanc terram, quae te genuit atque aluit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 xml:space="preserve">Qui (tu) potuisti populari hanc terram genitus atque al(i)tus ab ea? 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(μετοχές παθητικού παρακειμένου συνημμένες στο υποκείμενο του ρ.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, το οποίο μπορεί και να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παραλειφθεί,το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ab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ea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εμπρόθετος ποιητικού αιτίου)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ego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nisi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)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peperissem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(=αν εγώ δε σε είχα γεννήσει),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Roma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non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oppugnaretur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160309" w:rsidRPr="00722B5A" w:rsidRDefault="00FF6249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</w:rPr>
              <w:t>(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)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non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parto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(=αν εσύ δεν είχες γεννηθεί από εμένα),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Roma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non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oppugnaretur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(αφαιρετική απόλυτος μετοχή παθητικού παρακειμένου-το εννοούμενο αντικείμενο του ρ.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peperissem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Pr="00722B5A">
              <w:rPr>
                <w:rFonts w:ascii="Comic Sans MS" w:hAnsi="Comic Sans MS"/>
                <w:sz w:val="24"/>
                <w:szCs w:val="24"/>
              </w:rPr>
              <w:t xml:space="preserve">=σε αιτιατική), μετατρέπεται σε υποκείμενο της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αφ.απολ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. μετοχής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parto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)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te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(=σε αφαιρετική) - το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me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είναι ποιητικό αίτιο)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43108E" w:rsidRDefault="00ED24F7" w:rsidP="00722B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nisi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filium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haberem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libera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libera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 patria mortua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>essem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4261" w:type="dxa"/>
          </w:tcPr>
          <w:p w:rsidR="00160309" w:rsidRPr="00722B5A" w:rsidRDefault="00ED24F7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ego filium non habens, libera in libera patria mortua essem. 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(μετοχή ενεστώτα, συνημμένη στο υπ. του ρ. </w:t>
            </w:r>
            <w:proofErr w:type="spellStart"/>
            <w:r w:rsidRPr="00722B5A">
              <w:rPr>
                <w:rFonts w:ascii="Comic Sans MS" w:hAnsi="Comic Sans MS"/>
                <w:sz w:val="24"/>
                <w:szCs w:val="24"/>
              </w:rPr>
              <w:t>essem</w:t>
            </w:r>
            <w:proofErr w:type="spellEnd"/>
            <w:r w:rsidRPr="00722B5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43108E" w:rsidRDefault="00ED24F7" w:rsidP="00722B5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at contra hos, si pergis, aut immatura mors aut longa servitus manet. </w:t>
            </w:r>
          </w:p>
        </w:tc>
        <w:tc>
          <w:tcPr>
            <w:tcW w:w="4261" w:type="dxa"/>
          </w:tcPr>
          <w:p w:rsidR="00160309" w:rsidRPr="00722B5A" w:rsidRDefault="00ED24F7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43108E">
              <w:rPr>
                <w:rFonts w:ascii="Comic Sans MS" w:hAnsi="Comic Sans MS"/>
                <w:sz w:val="24"/>
                <w:szCs w:val="24"/>
                <w:lang w:val="en-US"/>
              </w:rPr>
              <w:t xml:space="preserve">at contra hos, (a) te pergente, aut immatura mors aut longa servitus manet. </w:t>
            </w:r>
            <w:r w:rsidRPr="00722B5A">
              <w:rPr>
                <w:rFonts w:ascii="Comic Sans MS" w:hAnsi="Comic Sans MS"/>
                <w:sz w:val="24"/>
                <w:szCs w:val="24"/>
              </w:rPr>
              <w:t>(μετοχή ενεστώτα σε αφαιρετική απόλυτο )</w:t>
            </w:r>
          </w:p>
        </w:tc>
      </w:tr>
      <w:tr w:rsidR="00160309" w:rsidRPr="0043108E" w:rsidTr="00EA5F23">
        <w:tc>
          <w:tcPr>
            <w:tcW w:w="4261" w:type="dxa"/>
          </w:tcPr>
          <w:p w:rsidR="00160309" w:rsidRPr="00722B5A" w:rsidRDefault="00ED24F7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 xml:space="preserve">44 Tum intellexi, quos fidos amicos habuissem, quos infidos,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s-ES"/>
              </w:rPr>
              <w:t>cum iam neutris gratiam referre poteram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 xml:space="preserve">. </w:t>
            </w:r>
          </w:p>
        </w:tc>
        <w:tc>
          <w:tcPr>
            <w:tcW w:w="4261" w:type="dxa"/>
          </w:tcPr>
          <w:p w:rsidR="00160309" w:rsidRPr="00722B5A" w:rsidRDefault="00ED24F7" w:rsidP="00722B5A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 xml:space="preserve">Tum intellexi, quos fidos amicos habuissem, quos infidos, iam neutris gratiam referre </w:t>
            </w:r>
            <w:r w:rsidRPr="00722B5A">
              <w:rPr>
                <w:rFonts w:ascii="Comic Sans MS" w:hAnsi="Comic Sans MS"/>
                <w:sz w:val="24"/>
                <w:szCs w:val="24"/>
                <w:u w:val="single"/>
                <w:lang w:val="es-ES"/>
              </w:rPr>
              <w:t>potens</w:t>
            </w:r>
          </w:p>
        </w:tc>
      </w:tr>
      <w:tr w:rsidR="00160309" w:rsidRPr="00722B5A" w:rsidTr="00EA5F23">
        <w:tc>
          <w:tcPr>
            <w:tcW w:w="4261" w:type="dxa"/>
          </w:tcPr>
          <w:p w:rsidR="00160309" w:rsidRPr="00722B5A" w:rsidRDefault="00ED24F7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45 si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adire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non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possit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160309" w:rsidRPr="00722B5A" w:rsidRDefault="00ED24F7" w:rsidP="00722B5A">
            <w:pPr>
              <w:rPr>
                <w:rFonts w:ascii="Comic Sans MS" w:hAnsi="Comic Sans MS"/>
                <w:sz w:val="24"/>
                <w:szCs w:val="24"/>
              </w:rPr>
            </w:pP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adire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non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potens</w:t>
            </w:r>
            <w:r w:rsidRPr="00722B5A">
              <w:rPr>
                <w:rFonts w:ascii="Comic Sans MS" w:hAnsi="Comic Sans MS"/>
                <w:sz w:val="24"/>
                <w:szCs w:val="24"/>
              </w:rPr>
              <w:t xml:space="preserve"> (μετοχή ενεστώτα συνημμένη στο αντικείμενο του ρ.</w:t>
            </w:r>
            <w:r w:rsidRPr="00722B5A">
              <w:rPr>
                <w:rFonts w:ascii="Comic Sans MS" w:hAnsi="Comic Sans MS"/>
                <w:sz w:val="24"/>
                <w:szCs w:val="24"/>
                <w:lang w:val="es-ES"/>
              </w:rPr>
              <w:t>monet</w:t>
            </w:r>
            <w:r w:rsidRPr="00722B5A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</w:tbl>
    <w:p w:rsidR="00722B5A" w:rsidRPr="00722B5A" w:rsidRDefault="00722B5A" w:rsidP="00722B5A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722B5A" w:rsidRPr="00722B5A" w:rsidSect="00933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F2" w:rsidRDefault="009C65F2" w:rsidP="00722B5A">
      <w:pPr>
        <w:spacing w:after="0" w:line="240" w:lineRule="auto"/>
      </w:pPr>
      <w:r>
        <w:separator/>
      </w:r>
    </w:p>
  </w:endnote>
  <w:endnote w:type="continuationSeparator" w:id="0">
    <w:p w:rsidR="009C65F2" w:rsidRDefault="009C65F2" w:rsidP="0072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A" w:rsidRDefault="00722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A" w:rsidRDefault="00722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A" w:rsidRDefault="00722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F2" w:rsidRDefault="009C65F2" w:rsidP="00722B5A">
      <w:pPr>
        <w:spacing w:after="0" w:line="240" w:lineRule="auto"/>
      </w:pPr>
      <w:r>
        <w:separator/>
      </w:r>
    </w:p>
  </w:footnote>
  <w:footnote w:type="continuationSeparator" w:id="0">
    <w:p w:rsidR="009C65F2" w:rsidRDefault="009C65F2" w:rsidP="0072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A" w:rsidRDefault="00722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A" w:rsidRDefault="00722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A" w:rsidRDefault="00722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F23"/>
    <w:rsid w:val="00160309"/>
    <w:rsid w:val="0043108E"/>
    <w:rsid w:val="00722B5A"/>
    <w:rsid w:val="007E4E25"/>
    <w:rsid w:val="0093398D"/>
    <w:rsid w:val="009C65F2"/>
    <w:rsid w:val="00CC5354"/>
    <w:rsid w:val="00EA5F23"/>
    <w:rsid w:val="00ED24F7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E519F9-A94A-4736-B38D-41B7E0E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2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B5A"/>
  </w:style>
  <w:style w:type="paragraph" w:styleId="Footer">
    <w:name w:val="footer"/>
    <w:basedOn w:val="Normal"/>
    <w:link w:val="FooterChar"/>
    <w:uiPriority w:val="99"/>
    <w:semiHidden/>
    <w:unhideWhenUsed/>
    <w:rsid w:val="0072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Lymperis</dc:creator>
  <cp:lastModifiedBy>306977266577</cp:lastModifiedBy>
  <cp:revision>4</cp:revision>
  <dcterms:created xsi:type="dcterms:W3CDTF">2017-04-05T20:48:00Z</dcterms:created>
  <dcterms:modified xsi:type="dcterms:W3CDTF">2025-01-13T18:45:00Z</dcterms:modified>
</cp:coreProperties>
</file>