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ED" w:rsidRPr="002E06ED" w:rsidRDefault="002E06ED" w:rsidP="002E06ED">
      <w:pPr>
        <w:rPr>
          <w:u w:val="single"/>
        </w:rPr>
      </w:pPr>
      <w:r w:rsidRPr="002E06ED">
        <w:rPr>
          <w:b/>
          <w:u w:val="single"/>
        </w:rPr>
        <w:t>ΚΕΦΑΛΑΙΟ ΤΡΙΤΟ ΕΝΟΤΗΤΑ 19_</w:t>
      </w:r>
      <w:r w:rsidRPr="002E06ED">
        <w:rPr>
          <w:b/>
          <w:bCs/>
          <w:u w:val="single"/>
        </w:rPr>
        <w:t>ΑΠΟ ΤΗΝ 3</w:t>
      </w:r>
      <w:r w:rsidRPr="002E06ED">
        <w:rPr>
          <w:b/>
          <w:bCs/>
          <w:u w:val="single"/>
          <w:vertAlign w:val="superscript"/>
        </w:rPr>
        <w:t>Η</w:t>
      </w:r>
      <w:r w:rsidRPr="002E06ED">
        <w:rPr>
          <w:b/>
          <w:bCs/>
          <w:u w:val="single"/>
        </w:rPr>
        <w:t xml:space="preserve"> ΣΕΠΤΕΜΒΡΙΟΥ 1843  ΕΩΣ ΤΗΝ ΕΞΩΣΗ ΤΟΥ ΟΘΩΝΑ (1862</w:t>
      </w:r>
      <w:r w:rsidRPr="002E06ED">
        <w:rPr>
          <w:u w:val="single"/>
        </w:rPr>
        <w:t>)</w:t>
      </w:r>
    </w:p>
    <w:p w:rsidR="002E06ED" w:rsidRPr="002E06ED" w:rsidRDefault="002E06ED" w:rsidP="002E06ED">
      <w:pPr>
        <w:spacing w:after="0"/>
        <w:rPr>
          <w:b/>
          <w:i/>
          <w:u w:val="single"/>
        </w:rPr>
      </w:pPr>
      <w:r w:rsidRPr="002E06ED">
        <w:rPr>
          <w:b/>
          <w:i/>
          <w:u w:val="single"/>
        </w:rPr>
        <w:t>Ποιες εξελίξεις ακολούθησαν την νύχτα της 3η</w:t>
      </w:r>
      <w:r w:rsidR="00840670">
        <w:rPr>
          <w:b/>
          <w:i/>
          <w:u w:val="single"/>
        </w:rPr>
        <w:t>ς</w:t>
      </w:r>
      <w:bookmarkStart w:id="0" w:name="_GoBack"/>
      <w:bookmarkEnd w:id="0"/>
      <w:r w:rsidRPr="002E06ED">
        <w:rPr>
          <w:b/>
          <w:i/>
          <w:u w:val="single"/>
        </w:rPr>
        <w:t xml:space="preserve"> Σεπτεμβρίου 1843;</w:t>
      </w:r>
    </w:p>
    <w:p w:rsidR="002E06ED" w:rsidRDefault="002E06ED" w:rsidP="002E06ED">
      <w:pPr>
        <w:spacing w:after="0"/>
      </w:pPr>
    </w:p>
    <w:p w:rsidR="002E06ED" w:rsidRDefault="002E06ED" w:rsidP="002E06ED">
      <w:pPr>
        <w:pStyle w:val="ListParagraph"/>
        <w:numPr>
          <w:ilvl w:val="0"/>
          <w:numId w:val="1"/>
        </w:numPr>
        <w:spacing w:after="0"/>
      </w:pPr>
      <w:r>
        <w:t xml:space="preserve">Συγκλήθηκε Εθνοσυνέλευση προκειμένου να ψηφιστεί το Σύνταγμα. </w:t>
      </w:r>
    </w:p>
    <w:p w:rsidR="002E06ED" w:rsidRDefault="002E06ED" w:rsidP="002E06ED">
      <w:pPr>
        <w:pStyle w:val="ListParagraph"/>
        <w:numPr>
          <w:ilvl w:val="0"/>
          <w:numId w:val="1"/>
        </w:numPr>
        <w:spacing w:after="0"/>
      </w:pPr>
      <w:r>
        <w:t>Το Μάρτιο του 1844 ψηφίζεται το σύνταγμα. Σύμφωνα με αυτό:</w:t>
      </w:r>
    </w:p>
    <w:p w:rsidR="002E06ED" w:rsidRDefault="002E06ED" w:rsidP="002E06ED">
      <w:pPr>
        <w:spacing w:after="0"/>
      </w:pPr>
    </w:p>
    <w:p w:rsidR="002E06ED" w:rsidRDefault="002E06ED" w:rsidP="002E06ED">
      <w:pPr>
        <w:pStyle w:val="ListParagraph"/>
        <w:numPr>
          <w:ilvl w:val="1"/>
          <w:numId w:val="1"/>
        </w:numPr>
        <w:spacing w:after="0" w:line="240" w:lineRule="auto"/>
      </w:pPr>
      <w:r>
        <w:t>θεσπίστηκε το πολίτευμα της συνταγματικής μοναρχίας.</w:t>
      </w:r>
    </w:p>
    <w:p w:rsidR="002E06ED" w:rsidRDefault="002E06ED" w:rsidP="002E06ED">
      <w:pPr>
        <w:spacing w:after="0" w:line="240" w:lineRule="auto"/>
      </w:pPr>
    </w:p>
    <w:p w:rsidR="002E06ED" w:rsidRDefault="002E06ED" w:rsidP="002E06ED">
      <w:pPr>
        <w:pStyle w:val="ListParagraph"/>
        <w:numPr>
          <w:ilvl w:val="1"/>
          <w:numId w:val="1"/>
        </w:numPr>
        <w:spacing w:after="0" w:line="240" w:lineRule="auto"/>
      </w:pPr>
      <w:r>
        <w:t>Τη νομοθετική εξουσία ασκούσαν από κοινού ο βασιλιάς, η Γερουσία (τα μέλη της διορίζονταν από τον βασιλιά και ήταν ισόβια) και η Βουλή (τα μέλη της εκλέγονταν από το λαό).</w:t>
      </w:r>
    </w:p>
    <w:p w:rsidR="002E06ED" w:rsidRDefault="002E06ED" w:rsidP="002E06ED">
      <w:pPr>
        <w:spacing w:after="0" w:line="240" w:lineRule="auto"/>
      </w:pPr>
    </w:p>
    <w:p w:rsidR="002E06ED" w:rsidRDefault="002E06ED" w:rsidP="002E06ED">
      <w:pPr>
        <w:pStyle w:val="ListParagraph"/>
        <w:numPr>
          <w:ilvl w:val="1"/>
          <w:numId w:val="1"/>
        </w:numPr>
        <w:spacing w:after="0" w:line="240" w:lineRule="auto"/>
      </w:pPr>
      <w:r>
        <w:t>Η εκτελεστική εξουσία ασκούνταν από τον βασιλιά μέσω υπουργών που ο ίδιος διόριζε και έπαυε, χωρίς την έγκριση της Βουλής.</w:t>
      </w:r>
    </w:p>
    <w:p w:rsidR="002E06ED" w:rsidRDefault="002E06ED" w:rsidP="002E06ED">
      <w:pPr>
        <w:spacing w:after="0" w:line="240" w:lineRule="auto"/>
      </w:pPr>
    </w:p>
    <w:p w:rsidR="002E06ED" w:rsidRDefault="002E06ED" w:rsidP="002E06ED">
      <w:pPr>
        <w:pStyle w:val="ListParagraph"/>
        <w:numPr>
          <w:ilvl w:val="1"/>
          <w:numId w:val="1"/>
        </w:numPr>
        <w:spacing w:after="0" w:line="240" w:lineRule="auto"/>
      </w:pPr>
      <w:r>
        <w:t>Οι δικαστές (δικαστική εξουσία) διορίζονταν και παύονταν από τον βασιλιά.</w:t>
      </w:r>
    </w:p>
    <w:p w:rsidR="002E06ED" w:rsidRDefault="002E06ED" w:rsidP="002E06ED">
      <w:pPr>
        <w:spacing w:after="0"/>
      </w:pPr>
    </w:p>
    <w:p w:rsidR="002E06ED" w:rsidRDefault="002E06ED" w:rsidP="002E06ED">
      <w:pPr>
        <w:spacing w:after="0"/>
      </w:pPr>
      <w:r>
        <w:t>Πάντως, το σύνταγμα του 1844 διέθετε και ορισμένα φιλελεύθερα στοιχεία (άρθρα για τις ατομικές ελευθερίες).</w:t>
      </w:r>
    </w:p>
    <w:p w:rsidR="002E06ED" w:rsidRDefault="002E06ED" w:rsidP="002E06ED">
      <w:pPr>
        <w:spacing w:after="0"/>
        <w:rPr>
          <w:b/>
          <w:bCs/>
          <w:u w:val="single"/>
        </w:rPr>
      </w:pPr>
    </w:p>
    <w:p w:rsidR="002E06ED" w:rsidRPr="002E06ED" w:rsidRDefault="002E06ED" w:rsidP="002E06ED">
      <w:pPr>
        <w:spacing w:after="0"/>
      </w:pPr>
      <w:r w:rsidRPr="002E06ED">
        <w:rPr>
          <w:b/>
          <w:bCs/>
          <w:u w:val="single"/>
        </w:rPr>
        <w:t xml:space="preserve">Η λειτουργία του πολιτεύματος </w:t>
      </w:r>
    </w:p>
    <w:p w:rsidR="002E06ED" w:rsidRPr="002E06ED" w:rsidRDefault="002E06ED" w:rsidP="002E06ED">
      <w:pPr>
        <w:spacing w:after="0"/>
      </w:pPr>
      <w:r w:rsidRPr="002E06ED">
        <w:t xml:space="preserve">Η καθιέρωση των κοινοβουλευτικών θεσμών αποτέλεσε, αναμφισβήτητα, μια θετική εξέλιξη. Οι υπερεξουσίες του βασιλιά, ωστόσο, νόθευαν τον δημοκρατικό χαρακτήρα του πολιτεύματος. </w:t>
      </w:r>
    </w:p>
    <w:p w:rsidR="002E06ED" w:rsidRPr="002E06ED" w:rsidRDefault="002E06ED" w:rsidP="002E06ED">
      <w:pPr>
        <w:spacing w:after="0"/>
      </w:pPr>
      <w:r w:rsidRPr="002E06ED">
        <w:t>Παράλληλα, τα κόμματα συνέχιζαν να αναπτύσσουν δράση, δίχως, όμως, να είναι επίσημα αναγνωρισμένα. Στις εκλογές που ακολούθησαν (1844), χρησιμοποιήθηκαν αθέμιτα μέσα (καλπονοθεία, εκβιασμοί, χρηματισμοί) για να επηρεαστούν οι ψηφοφόροι.</w:t>
      </w:r>
    </w:p>
    <w:p w:rsidR="002E06ED" w:rsidRDefault="002E06ED" w:rsidP="002E06ED">
      <w:pPr>
        <w:spacing w:after="0"/>
      </w:pPr>
    </w:p>
    <w:p w:rsidR="002E06ED" w:rsidRDefault="002E06ED" w:rsidP="002E06ED">
      <w:pPr>
        <w:spacing w:after="0"/>
      </w:pPr>
      <w:r w:rsidRPr="002E06ED">
        <w:t xml:space="preserve">Τέτοιες πρακτικές εφάρμοσε κυρίως το γαλλικό κόμμα και ο ηγέτης του, ο </w:t>
      </w:r>
      <w:r w:rsidRPr="002E06ED">
        <w:rPr>
          <w:b/>
          <w:bCs/>
        </w:rPr>
        <w:t>Ιωάννης Κωλέττης</w:t>
      </w:r>
      <w:r w:rsidRPr="002E06ED">
        <w:t>, που αναδείχτηκε και νικητής των εκλογών. Κατά την πρωθυπουργία του (1844-1847), συνεργάστηκε με τον Όθωνα, παραβίασε κατ’ επανάληψη το σύνταγμα, αγνόησε τη Βουλή και χρησιμοποίησε κρατικούς πόρους για την εξυπηρέτηση ψηφοφόρων του</w:t>
      </w:r>
      <w:r>
        <w:t>.</w:t>
      </w:r>
    </w:p>
    <w:p w:rsidR="002E06ED" w:rsidRDefault="002E06ED" w:rsidP="002E06ED">
      <w:pPr>
        <w:spacing w:after="0"/>
      </w:pPr>
    </w:p>
    <w:p w:rsidR="002E06ED" w:rsidRPr="002E06ED" w:rsidRDefault="002E06ED" w:rsidP="002E06ED">
      <w:pPr>
        <w:spacing w:after="0"/>
      </w:pPr>
      <w:r w:rsidRPr="002E06ED">
        <w:rPr>
          <w:b/>
          <w:bCs/>
        </w:rPr>
        <w:t>Η διαμάχη αυτοχθόνων-ετεροχθόνων</w:t>
      </w:r>
      <w:r w:rsidRPr="002E06ED">
        <w:t xml:space="preserve"> </w:t>
      </w:r>
    </w:p>
    <w:p w:rsidR="002E06ED" w:rsidRPr="002E06ED" w:rsidRDefault="002E06ED" w:rsidP="002E06ED">
      <w:pPr>
        <w:spacing w:after="0"/>
      </w:pPr>
      <w:r w:rsidRPr="002E06ED">
        <w:t xml:space="preserve">Στη διάρκεια της Εθνοσυνέλευσης εκφράστηκε με ένταση η αντίθεση μεταξύ </w:t>
      </w:r>
    </w:p>
    <w:p w:rsidR="002E06ED" w:rsidRPr="002E06ED" w:rsidRDefault="002E06ED" w:rsidP="002E06ED">
      <w:pPr>
        <w:spacing w:after="0"/>
      </w:pPr>
      <w:r w:rsidRPr="002E06ED">
        <w:rPr>
          <w:b/>
          <w:bCs/>
        </w:rPr>
        <w:t>των αυτοχθόνων</w:t>
      </w:r>
      <w:r w:rsidRPr="002E06ED">
        <w:t xml:space="preserve">                                                                 </w:t>
      </w:r>
      <w:r w:rsidRPr="002E06ED">
        <w:rPr>
          <w:b/>
          <w:bCs/>
        </w:rPr>
        <w:t>των ετερόχθονων</w:t>
      </w:r>
    </w:p>
    <w:p w:rsidR="002E06ED" w:rsidRPr="002E06ED" w:rsidRDefault="002E06ED" w:rsidP="002E06ED">
      <w:pPr>
        <w:spacing w:after="0"/>
      </w:pPr>
      <w:r w:rsidRPr="002E06ED">
        <w:rPr>
          <w:i/>
          <w:iCs/>
          <w:u w:val="single"/>
        </w:rPr>
        <w:t>Οι αυτόχθονες ήταν Έλληνες  γεννημένοι σε περιοχές  που εντάχθηκαν στο ελληνικό κράτος</w:t>
      </w:r>
    </w:p>
    <w:p w:rsidR="002E06ED" w:rsidRPr="002E06ED" w:rsidRDefault="002E06ED" w:rsidP="002E06ED">
      <w:pPr>
        <w:spacing w:after="0"/>
      </w:pPr>
      <w:r w:rsidRPr="002E06ED">
        <w:rPr>
          <w:i/>
          <w:iCs/>
          <w:u w:val="single"/>
        </w:rPr>
        <w:t>Οι ετερόχθονες ήταν Έλληνες γεννημένοι σε περιοχές που βρίσκονταν έξω από τα σύνορα του ελληνικού κράτους</w:t>
      </w:r>
    </w:p>
    <w:p w:rsidR="002E06ED" w:rsidRDefault="002E06ED" w:rsidP="002E06ED">
      <w:pPr>
        <w:spacing w:after="0"/>
      </w:pPr>
    </w:p>
    <w:p w:rsidR="002E06ED" w:rsidRPr="002E06ED" w:rsidRDefault="002E06ED" w:rsidP="002E06ED">
      <w:pPr>
        <w:spacing w:after="0"/>
      </w:pPr>
      <w:r w:rsidRPr="002E06ED">
        <w:t>Στις 14 Ιανουαρίου 1844, κατά τη διάρκεια της Α’ Εθνοσυνέλευσης, συζητήθηκαν τα κριτήρια που θα καθόριζαν τον “</w:t>
      </w:r>
      <w:r w:rsidRPr="002E06ED">
        <w:rPr>
          <w:b/>
          <w:bCs/>
        </w:rPr>
        <w:t>Έλληνα πολίτη</w:t>
      </w:r>
      <w:r w:rsidRPr="002E06ED">
        <w:t>” καθώς και τα προσόντα που θα πρέπει να έχει ο “</w:t>
      </w:r>
      <w:r w:rsidRPr="002E06ED">
        <w:rPr>
          <w:b/>
          <w:bCs/>
        </w:rPr>
        <w:t>δημόσιος υπάλληλος</w:t>
      </w:r>
      <w:r w:rsidRPr="002E06ED">
        <w:t xml:space="preserve">” του κράτους. </w:t>
      </w:r>
    </w:p>
    <w:p w:rsidR="002E06ED" w:rsidRPr="002E06ED" w:rsidRDefault="002E06ED" w:rsidP="002E06ED">
      <w:pPr>
        <w:spacing w:after="0"/>
      </w:pPr>
      <w:r w:rsidRPr="002E06ED">
        <w:t xml:space="preserve">Εκεί ήταν που αναδείχθηκε η διαμάχη μεταξύ ετερόχθονων και αυτόχθονων, καθώς οι δεύτεροι διεκδικούσαν τον αποκλεισμό των «ξένων» από τις δημόσιες θέσεις. </w:t>
      </w:r>
    </w:p>
    <w:p w:rsidR="002E06ED" w:rsidRPr="002E06ED" w:rsidRDefault="002E06ED" w:rsidP="002E06ED">
      <w:pPr>
        <w:spacing w:after="0"/>
      </w:pPr>
      <w:r w:rsidRPr="002E06ED">
        <w:t xml:space="preserve">Οι ετερόχθονες ομογενείς που ήρθαν στην Ελλάδα λίγο πριν ή μετά το τέλος της Επανάστασης, είχαν λάβει καίρια δημόσια αξιώματα λόγω της μόρφωσής τους. Γεγονός που έκανε τους ντόπιους αγωνιστές να νιώθουν παραγκωνισμένοι. </w:t>
      </w:r>
    </w:p>
    <w:p w:rsidR="002E06ED" w:rsidRPr="002E06ED" w:rsidRDefault="002E06ED" w:rsidP="002E06ED">
      <w:pPr>
        <w:spacing w:after="0"/>
      </w:pPr>
      <w:r w:rsidRPr="002E06ED">
        <w:br/>
        <w:t>Έτσι λοιπόν το βασικό επιχείρημα των αυτόχθονων ήταν η απουσία των ετερόχθονων στα δύσκολα χρόνια της σκλαβιάς.</w:t>
      </w:r>
    </w:p>
    <w:p w:rsidR="002E06ED" w:rsidRPr="002E06ED" w:rsidRDefault="002E06ED" w:rsidP="002E06ED">
      <w:pPr>
        <w:spacing w:after="0"/>
      </w:pPr>
      <w:r w:rsidRPr="002E06ED">
        <w:t xml:space="preserve">Μετά από έντονες πιέσεις των αυτοχθόνων, που αποτελούσαν και την πλειοψηφία της Εθνοσυνέλευσης, αποφασίστηκε οι ετερόχθονες, δίχως να χάσουν το δικαίωμα του Έλληνα πολίτη, να μην επιτρέπεται να διοριστούν σε θέσεις της διοίκησης (δεν αποκλείονταν από την εκπαίδευση και τον στρατό). </w:t>
      </w:r>
    </w:p>
    <w:p w:rsidR="002E06ED" w:rsidRDefault="002E06ED" w:rsidP="002E06ED">
      <w:pPr>
        <w:spacing w:after="0"/>
      </w:pPr>
    </w:p>
    <w:p w:rsidR="002E06ED" w:rsidRPr="002E06ED" w:rsidRDefault="002E06ED" w:rsidP="002E06ED">
      <w:pPr>
        <w:spacing w:after="0"/>
      </w:pPr>
      <w:r w:rsidRPr="002E06ED">
        <w:lastRenderedPageBreak/>
        <w:t>Κατά τη διάρκεια αυτής της διένεξης το λόγο πήρε ο Ι. Κωλλέτης προσπαθώντας να γεφυρώσει τη διχόνοια. Μεταξύ άλλων είπε τα ακόλουθα:</w:t>
      </w:r>
    </w:p>
    <w:p w:rsidR="002E06ED" w:rsidRPr="002E06ED" w:rsidRDefault="002E06ED" w:rsidP="002E06ED">
      <w:pPr>
        <w:spacing w:after="0"/>
      </w:pPr>
      <w:r w:rsidRPr="002E06ED">
        <w:t>“</w:t>
      </w:r>
      <w:r w:rsidRPr="002E06ED">
        <w:rPr>
          <w:i/>
          <w:iCs/>
        </w:rPr>
        <w:t xml:space="preserve">Το Βασίλειο της Ελλάδος δεν είναι η Ελλάς. Αποτελεί έν μέρος μόνον, το πλέον μικρόν και το πλέον πτωχό της Ελλάδος. Υπάρχουν δύο μεγάλα κέντρα του Ελληνισμού. Αι Αθήναι είναι η πρωτεύουσα του Βασιλείου. Η Κωνσταντινούπολις είναι η μεγάλη πρωτεύουσα, η Πόλις, το όνειρο και η ελπίς όλων των Ελλήνων”.... </w:t>
      </w:r>
      <w:r w:rsidRPr="002E06ED">
        <w:rPr>
          <w:i/>
          <w:iCs/>
        </w:rPr>
        <w:br/>
      </w:r>
      <w:r w:rsidRPr="002E06ED">
        <w:br/>
        <w:t xml:space="preserve">Με αυτό τον τρόπο εισήγαμε την ιδέα της </w:t>
      </w:r>
      <w:r w:rsidRPr="002E06ED">
        <w:rPr>
          <w:b/>
          <w:bCs/>
          <w:u w:val="single"/>
        </w:rPr>
        <w:t>Μεγάλης Ελλάδας και του αλυτρωτισμού</w:t>
      </w:r>
      <w:r w:rsidRPr="002E06ED">
        <w:t>.</w:t>
      </w:r>
    </w:p>
    <w:p w:rsidR="002E06ED" w:rsidRDefault="002E06ED" w:rsidP="002E06ED">
      <w:pPr>
        <w:spacing w:after="0"/>
      </w:pPr>
    </w:p>
    <w:p w:rsidR="002E06ED" w:rsidRPr="002E06ED" w:rsidRDefault="002E06ED" w:rsidP="002E06ED">
      <w:pPr>
        <w:spacing w:after="0"/>
      </w:pPr>
      <w:r w:rsidRPr="002E06ED">
        <w:rPr>
          <w:b/>
          <w:bCs/>
        </w:rPr>
        <w:t>Η Μεγάλη Ιδέα</w:t>
      </w:r>
    </w:p>
    <w:p w:rsidR="002E06ED" w:rsidRPr="002E06ED" w:rsidRDefault="002E06ED" w:rsidP="002E06ED">
      <w:pPr>
        <w:spacing w:after="0"/>
      </w:pPr>
      <w:r w:rsidRPr="002E06ED">
        <w:t>Αυτή την εποχή, στη βάση του ότι η Ελλάδα ήταν φτωχή και οι περισσότεροι Έλληνες ζούσαν έξω από τα σύνορα του ελληνικού κράτους.</w:t>
      </w:r>
    </w:p>
    <w:p w:rsidR="002E06ED" w:rsidRPr="002E06ED" w:rsidRDefault="002E06ED" w:rsidP="002E06ED">
      <w:pPr>
        <w:spacing w:after="0"/>
      </w:pPr>
      <w:r w:rsidRPr="002E06ED">
        <w:t xml:space="preserve">Διατυπώθηκε η θέση ότι, για να αναπτυχθεί η χώρα, θα έπρεπε πρώτα να διευρυνθούν τα ελληνικά σύνορα ώστε να περιλάβουν περιοχές με ελληνικούς πληθυσμούς που βρίσκονταν υπό ξένη -κυρίως οθωμανική- κυριαρχία. Αν και η ιδέα κυκλοφορούσε σχεδόν από την ίδρυση του ελληνικού κράτους, ο </w:t>
      </w:r>
      <w:r w:rsidRPr="002E06ED">
        <w:rPr>
          <w:b/>
          <w:bCs/>
        </w:rPr>
        <w:t>Κωλέττης</w:t>
      </w:r>
      <w:r w:rsidRPr="002E06ED">
        <w:t xml:space="preserve"> ήταν εκείνος που αναφερόμενος σε αυτή χρησιμοποίησε για πρώτη φορά τον όρο </w:t>
      </w:r>
      <w:r w:rsidRPr="002E06ED">
        <w:rPr>
          <w:b/>
          <w:bCs/>
        </w:rPr>
        <w:t xml:space="preserve">Μεγάλη Ιδέα </w:t>
      </w:r>
      <w:r w:rsidRPr="002E06ED">
        <w:t>(ιδέα για την οποία αξίζει να αγωνιστεί όλο το έθνος).</w:t>
      </w:r>
    </w:p>
    <w:p w:rsidR="002E06ED" w:rsidRPr="002E06ED" w:rsidRDefault="002E06ED" w:rsidP="002E06ED">
      <w:pPr>
        <w:spacing w:after="0"/>
      </w:pPr>
      <w:r w:rsidRPr="002E06ED">
        <w:t xml:space="preserve">Γρήγορα, η Μεγάλη Ιδέα έγινε αποδεκτή από την ελληνική κοινωνία, υιοθετήθηκε ως επίσημη κρατική πολιτική και σφράγισε τη ζωή και την ιδεολογία του ελληνισμού μέχρι τις πρώτες δεκαετίες του 20ού αιώνα. Οι Έλληνες που ζούσαν στην Οθωμανική αυτοκρατορία ονομάστηκαν </w:t>
      </w:r>
      <w:r w:rsidRPr="002E06ED">
        <w:rPr>
          <w:b/>
          <w:bCs/>
          <w:i/>
          <w:iCs/>
          <w:u w:val="single"/>
        </w:rPr>
        <w:t>αλύτρωτοι</w:t>
      </w:r>
      <w:r w:rsidRPr="002E06ED">
        <w:t xml:space="preserve"> (επειδή δεν είχαν, ακόμη, λυτρωθεί, δηλαδή απελευθερωθεί) και η πολιτική που στόχευε στην ένταξη, τη δική τους και των εδαφών στα οποία κατοικούσαν, στο ελληνικό κράτος ονομάστηκε </w:t>
      </w:r>
      <w:r w:rsidRPr="002E06ED">
        <w:rPr>
          <w:b/>
          <w:bCs/>
          <w:i/>
          <w:iCs/>
          <w:u w:val="single"/>
        </w:rPr>
        <w:t>αλυτρωτισμός</w:t>
      </w:r>
      <w:r w:rsidRPr="002E06ED">
        <w:t>.</w:t>
      </w:r>
    </w:p>
    <w:p w:rsidR="002E06ED" w:rsidRPr="002E06ED" w:rsidRDefault="002E06ED" w:rsidP="002E06ED">
      <w:pPr>
        <w:spacing w:after="0"/>
      </w:pPr>
      <w:r w:rsidRPr="002E06ED">
        <w:t xml:space="preserve">Παράλληλα, μια άλλη αντίληψη, που εκφραζόταν, κυρίως, από τον </w:t>
      </w:r>
      <w:r w:rsidRPr="002E06ED">
        <w:rPr>
          <w:b/>
          <w:bCs/>
        </w:rPr>
        <w:t>Αλέξανδρο Μαυροκορδάτο</w:t>
      </w:r>
      <w:r w:rsidRPr="002E06ED">
        <w:t xml:space="preserve"> και το αγγλικό κόμμα και υποστήριζε ότι μόνο αν προηγούνταν η οικονομική ανάπτυξη της Ελλάδας θα ήταν εφικτή και η εδαφική επέκτασή της, έβρισκε λιγότερους υποστηρικτές.</w:t>
      </w:r>
    </w:p>
    <w:p w:rsidR="002E06ED" w:rsidRDefault="002E06ED" w:rsidP="002E06ED">
      <w:pPr>
        <w:spacing w:after="0"/>
      </w:pPr>
    </w:p>
    <w:p w:rsidR="002E06ED" w:rsidRPr="002E06ED" w:rsidRDefault="002E06ED" w:rsidP="002E06ED">
      <w:pPr>
        <w:spacing w:after="0"/>
      </w:pPr>
      <w:r w:rsidRPr="002E06ED">
        <w:rPr>
          <w:b/>
          <w:bCs/>
          <w:u w:val="single"/>
        </w:rPr>
        <w:t xml:space="preserve">Ο Κριμαϊκός πόλεμος (1854-1856) και ο ελληνισμός </w:t>
      </w:r>
    </w:p>
    <w:p w:rsidR="002E06ED" w:rsidRPr="002E06ED" w:rsidRDefault="002E06ED" w:rsidP="002E06ED">
      <w:pPr>
        <w:spacing w:after="0"/>
      </w:pPr>
      <w:r w:rsidRPr="002E06ED">
        <w:t>Το 1854 ξέσπασε ρωσοτουρκικός πόλεμος. Αγγλία και Γαλλία τάχθηκαν αμέσως στο πλευρό του σουλτάνου και ο πόλεμος μεταφέρθηκε στη ρωσική χερσόνησο της Κριμαίας (Κριμαϊκός πόλεμος).</w:t>
      </w:r>
    </w:p>
    <w:p w:rsidR="002E06ED" w:rsidRDefault="002E06ED" w:rsidP="002E06ED">
      <w:pPr>
        <w:spacing w:after="0"/>
      </w:pPr>
    </w:p>
    <w:p w:rsidR="002E06ED" w:rsidRPr="002E06ED" w:rsidRDefault="002E06ED" w:rsidP="002E06ED">
      <w:pPr>
        <w:spacing w:after="0"/>
      </w:pPr>
      <w:r w:rsidRPr="002E06ED">
        <w:t>Ο Όθωνας και πολλοί Έλληνες θεώρησαν ότι δινόταν στην Ελλάδα μια καλή ευκαιρία να διευρύνει τα σύνορά της. Έτσι, στις αρχές του 1854, Έλληνες στρατιωτικοί οργάνωσαν εξεγέρσεις στη Θεσσαλία, στην Ήπειρο και στη Μακεδονία.</w:t>
      </w:r>
      <w:r>
        <w:t xml:space="preserve"> </w:t>
      </w:r>
      <w:r w:rsidRPr="002E06ED">
        <w:t>Σχεδόν αμέσως, αγγλικά και γαλλικά στρατεύματα κατέλαβαν τον Πειραιά (1854-1857) απαιτώντας από τον Όθωνα να τηρήσει η Ελλάδα αυστηρή ουδετερότητα.</w:t>
      </w:r>
    </w:p>
    <w:p w:rsidR="002E06ED" w:rsidRDefault="002E06ED" w:rsidP="002E06ED">
      <w:pPr>
        <w:spacing w:after="0"/>
      </w:pPr>
    </w:p>
    <w:p w:rsidR="002E06ED" w:rsidRPr="002E06ED" w:rsidRDefault="002E06ED" w:rsidP="002E06ED">
      <w:pPr>
        <w:spacing w:after="0"/>
      </w:pPr>
      <w:r w:rsidRPr="002E06ED">
        <w:t xml:space="preserve">Τελικά, ο Κριμαϊκός πόλεμος έληξε με </w:t>
      </w:r>
      <w:r w:rsidRPr="002E06ED">
        <w:rPr>
          <w:b/>
          <w:bCs/>
        </w:rPr>
        <w:t>ήττα της Ρωσίας</w:t>
      </w:r>
      <w:r w:rsidRPr="002E06ED">
        <w:t xml:space="preserve">. </w:t>
      </w:r>
    </w:p>
    <w:p w:rsidR="002E06ED" w:rsidRPr="002E06ED" w:rsidRDefault="002E06ED" w:rsidP="002E06ED">
      <w:pPr>
        <w:spacing w:after="0"/>
      </w:pPr>
      <w:r w:rsidRPr="002E06ED">
        <w:t xml:space="preserve">Αμέσως μετά, ο σουλτάνος, πιεζόμενος και από τις Δυνάμεις, προχώρησε σε μεταρρυθμίσεις, γνωστές ως </w:t>
      </w:r>
      <w:r w:rsidRPr="002E06ED">
        <w:rPr>
          <w:b/>
          <w:bCs/>
          <w:u w:val="single"/>
        </w:rPr>
        <w:t xml:space="preserve">Χάτι Χουμαγιούν </w:t>
      </w:r>
      <w:r w:rsidRPr="002E06ED">
        <w:t>(1856), με στόχο τη διασφάλιση της ισότητας όλων των υπηκόων της Οθωμανικής αυτοκρατορίας, ανεξάρτητα από φυλή ή θρήσκευμα. Έτσι εγκαινιάστηκε μια περίοδος ανάπτυξης του ελληνισμού στην Οθωμανική αυτοκρατορία.</w:t>
      </w:r>
    </w:p>
    <w:p w:rsidR="002E06ED" w:rsidRDefault="002E06ED" w:rsidP="002E06ED">
      <w:pPr>
        <w:spacing w:after="0"/>
      </w:pPr>
    </w:p>
    <w:p w:rsidR="002E06ED" w:rsidRPr="002E06ED" w:rsidRDefault="002E06ED" w:rsidP="002E06ED">
      <w:pPr>
        <w:spacing w:after="0"/>
      </w:pPr>
      <w:r w:rsidRPr="002E06ED">
        <w:t>Παράλληλα στην Ελλάδα, τα τρία παλαιά κόμματα (αγγλικό, γαλλικό και ρωσικό) έπαψαν να υπάρχουν, καθώς, μετά τις εξελίξεις του Κριμαϊκού πολέμου, η ελληνική κοινή γνώμη έχασε την εμπιστοσύνη της και στις τρεις Μεγάλες Δυνάμεις.</w:t>
      </w:r>
    </w:p>
    <w:p w:rsidR="002E06ED" w:rsidRDefault="002E06ED" w:rsidP="002E06ED">
      <w:pPr>
        <w:spacing w:after="0"/>
      </w:pPr>
    </w:p>
    <w:p w:rsidR="002E06ED" w:rsidRPr="002E06ED" w:rsidRDefault="002E06ED" w:rsidP="002E06ED">
      <w:pPr>
        <w:spacing w:after="0"/>
      </w:pPr>
      <w:r w:rsidRPr="002E06ED">
        <w:t xml:space="preserve">Την περίοδο 1859-1962 το αντιβασιλικό κίνημα ενισχύθηκε. </w:t>
      </w:r>
    </w:p>
    <w:p w:rsidR="002E06ED" w:rsidRDefault="002E06ED" w:rsidP="002E06ED">
      <w:pPr>
        <w:spacing w:after="0"/>
      </w:pPr>
    </w:p>
    <w:p w:rsidR="002E06ED" w:rsidRPr="002E06ED" w:rsidRDefault="002E06ED" w:rsidP="002E06ED">
      <w:pPr>
        <w:spacing w:after="0"/>
      </w:pPr>
      <w:r w:rsidRPr="002E06ED">
        <w:t xml:space="preserve">Τελικά ο Όθωνας και η Αμαλία διώχθηκαν από την Ελλάδα τον Οκτώβριο του </w:t>
      </w:r>
      <w:r w:rsidRPr="002E06ED">
        <w:rPr>
          <w:b/>
          <w:bCs/>
        </w:rPr>
        <w:t>1962</w:t>
      </w:r>
      <w:r w:rsidRPr="002E06ED">
        <w:t>.</w:t>
      </w:r>
    </w:p>
    <w:p w:rsidR="002E06ED" w:rsidRPr="002E06ED" w:rsidRDefault="002E06ED" w:rsidP="002E06ED">
      <w:pPr>
        <w:spacing w:after="0"/>
      </w:pPr>
      <w:r w:rsidRPr="002E06ED">
        <w:t>Πέθανε στο Μόναχο του 1867.</w:t>
      </w:r>
    </w:p>
    <w:p w:rsidR="002E06ED" w:rsidRDefault="002E06ED" w:rsidP="002E06ED">
      <w:pPr>
        <w:spacing w:after="0"/>
      </w:pPr>
    </w:p>
    <w:sectPr w:rsidR="002E06ED" w:rsidSect="002E06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38E0"/>
    <w:multiLevelType w:val="hybridMultilevel"/>
    <w:tmpl w:val="B358C3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ED"/>
    <w:rsid w:val="002E06ED"/>
    <w:rsid w:val="00840670"/>
    <w:rsid w:val="00C26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ED"/>
    <w:pPr>
      <w:ind w:left="720"/>
      <w:contextualSpacing/>
    </w:pPr>
  </w:style>
  <w:style w:type="paragraph" w:styleId="NormalWeb">
    <w:name w:val="Normal (Web)"/>
    <w:basedOn w:val="Normal"/>
    <w:uiPriority w:val="99"/>
    <w:semiHidden/>
    <w:unhideWhenUsed/>
    <w:rsid w:val="002E06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ED"/>
    <w:pPr>
      <w:ind w:left="720"/>
      <w:contextualSpacing/>
    </w:pPr>
  </w:style>
  <w:style w:type="paragraph" w:styleId="NormalWeb">
    <w:name w:val="Normal (Web)"/>
    <w:basedOn w:val="Normal"/>
    <w:uiPriority w:val="99"/>
    <w:semiHidden/>
    <w:unhideWhenUsed/>
    <w:rsid w:val="002E06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20254">
      <w:bodyDiv w:val="1"/>
      <w:marLeft w:val="0"/>
      <w:marRight w:val="0"/>
      <w:marTop w:val="0"/>
      <w:marBottom w:val="0"/>
      <w:divBdr>
        <w:top w:val="none" w:sz="0" w:space="0" w:color="auto"/>
        <w:left w:val="none" w:sz="0" w:space="0" w:color="auto"/>
        <w:bottom w:val="none" w:sz="0" w:space="0" w:color="auto"/>
        <w:right w:val="none" w:sz="0" w:space="0" w:color="auto"/>
      </w:divBdr>
    </w:div>
    <w:div w:id="1010329268">
      <w:bodyDiv w:val="1"/>
      <w:marLeft w:val="0"/>
      <w:marRight w:val="0"/>
      <w:marTop w:val="0"/>
      <w:marBottom w:val="0"/>
      <w:divBdr>
        <w:top w:val="none" w:sz="0" w:space="0" w:color="auto"/>
        <w:left w:val="none" w:sz="0" w:space="0" w:color="auto"/>
        <w:bottom w:val="none" w:sz="0" w:space="0" w:color="auto"/>
        <w:right w:val="none" w:sz="0" w:space="0" w:color="auto"/>
      </w:divBdr>
    </w:div>
    <w:div w:id="1288003525">
      <w:bodyDiv w:val="1"/>
      <w:marLeft w:val="0"/>
      <w:marRight w:val="0"/>
      <w:marTop w:val="0"/>
      <w:marBottom w:val="0"/>
      <w:divBdr>
        <w:top w:val="none" w:sz="0" w:space="0" w:color="auto"/>
        <w:left w:val="none" w:sz="0" w:space="0" w:color="auto"/>
        <w:bottom w:val="none" w:sz="0" w:space="0" w:color="auto"/>
        <w:right w:val="none" w:sz="0" w:space="0" w:color="auto"/>
      </w:divBdr>
    </w:div>
    <w:div w:id="1415781201">
      <w:bodyDiv w:val="1"/>
      <w:marLeft w:val="0"/>
      <w:marRight w:val="0"/>
      <w:marTop w:val="0"/>
      <w:marBottom w:val="0"/>
      <w:divBdr>
        <w:top w:val="none" w:sz="0" w:space="0" w:color="auto"/>
        <w:left w:val="none" w:sz="0" w:space="0" w:color="auto"/>
        <w:bottom w:val="none" w:sz="0" w:space="0" w:color="auto"/>
        <w:right w:val="none" w:sz="0" w:space="0" w:color="auto"/>
      </w:divBdr>
    </w:div>
    <w:div w:id="1420633537">
      <w:bodyDiv w:val="1"/>
      <w:marLeft w:val="0"/>
      <w:marRight w:val="0"/>
      <w:marTop w:val="0"/>
      <w:marBottom w:val="0"/>
      <w:divBdr>
        <w:top w:val="none" w:sz="0" w:space="0" w:color="auto"/>
        <w:left w:val="none" w:sz="0" w:space="0" w:color="auto"/>
        <w:bottom w:val="none" w:sz="0" w:space="0" w:color="auto"/>
        <w:right w:val="none" w:sz="0" w:space="0" w:color="auto"/>
      </w:divBdr>
    </w:div>
    <w:div w:id="1619487913">
      <w:bodyDiv w:val="1"/>
      <w:marLeft w:val="0"/>
      <w:marRight w:val="0"/>
      <w:marTop w:val="0"/>
      <w:marBottom w:val="0"/>
      <w:divBdr>
        <w:top w:val="none" w:sz="0" w:space="0" w:color="auto"/>
        <w:left w:val="none" w:sz="0" w:space="0" w:color="auto"/>
        <w:bottom w:val="none" w:sz="0" w:space="0" w:color="auto"/>
        <w:right w:val="none" w:sz="0" w:space="0" w:color="auto"/>
      </w:divBdr>
    </w:div>
    <w:div w:id="1669359015">
      <w:bodyDiv w:val="1"/>
      <w:marLeft w:val="0"/>
      <w:marRight w:val="0"/>
      <w:marTop w:val="0"/>
      <w:marBottom w:val="0"/>
      <w:divBdr>
        <w:top w:val="none" w:sz="0" w:space="0" w:color="auto"/>
        <w:left w:val="none" w:sz="0" w:space="0" w:color="auto"/>
        <w:bottom w:val="none" w:sz="0" w:space="0" w:color="auto"/>
        <w:right w:val="none" w:sz="0" w:space="0" w:color="auto"/>
      </w:divBdr>
    </w:div>
    <w:div w:id="1755668270">
      <w:bodyDiv w:val="1"/>
      <w:marLeft w:val="0"/>
      <w:marRight w:val="0"/>
      <w:marTop w:val="0"/>
      <w:marBottom w:val="0"/>
      <w:divBdr>
        <w:top w:val="none" w:sz="0" w:space="0" w:color="auto"/>
        <w:left w:val="none" w:sz="0" w:space="0" w:color="auto"/>
        <w:bottom w:val="none" w:sz="0" w:space="0" w:color="auto"/>
        <w:right w:val="none" w:sz="0" w:space="0" w:color="auto"/>
      </w:divBdr>
    </w:div>
    <w:div w:id="17809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2</cp:revision>
  <cp:lastPrinted>2024-01-23T19:56:00Z</cp:lastPrinted>
  <dcterms:created xsi:type="dcterms:W3CDTF">2024-01-23T19:50:00Z</dcterms:created>
  <dcterms:modified xsi:type="dcterms:W3CDTF">2024-01-23T19:57:00Z</dcterms:modified>
</cp:coreProperties>
</file>