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0" w:rsidRPr="00F26DD0" w:rsidRDefault="00F26DD0" w:rsidP="00CF5A46">
      <w:pPr>
        <w:shd w:val="clear" w:color="auto" w:fill="FFFFFF"/>
        <w:spacing w:after="0" w:line="240" w:lineRule="auto"/>
        <w:ind w:left="2160" w:right="-99" w:firstLine="720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u w:val="single"/>
          <w:lang w:eastAsia="el-GR"/>
        </w:rPr>
      </w:pPr>
      <w:r w:rsidRPr="00CF5A46">
        <w:rPr>
          <w:rFonts w:ascii="Calibri" w:eastAsia="Times New Roman" w:hAnsi="Calibri" w:cs="Calibri"/>
          <w:b/>
          <w:bCs/>
          <w:color w:val="000000"/>
          <w:sz w:val="28"/>
          <w:u w:val="single"/>
          <w:lang w:eastAsia="el-GR"/>
        </w:rPr>
        <w:t>Οι αναφορικές προτάσεις</w:t>
      </w:r>
    </w:p>
    <w:p w:rsidR="00F26DD0" w:rsidRP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6D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Αναφορικές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λέγονται οι δευτερεύουσες προτάσεις που εισάγονται με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αναφορικές</w:t>
      </w:r>
    </w:p>
    <w:p w:rsidR="00F26DD0" w:rsidRP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</w:t>
      </w:r>
      <w:r w:rsidRPr="00F26D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ντωνυμίες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(που, όποιος, ο οποίος, όσος, </w:t>
      </w:r>
      <w:proofErr w:type="spellStart"/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ό,τι</w:t>
      </w:r>
      <w:proofErr w:type="spellEnd"/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ή με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αναφορικά επιρρήματα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(όπου, που,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ό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πως,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πως, όσο, καθώς, σαν, ωσάν) και προσδιορίζουν κάποιον όρο μιας άλλης πρότασης, ο οποίος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είτε υπάρχει στην πρόταση είτε παραλείπεται και εννοείται. </w:t>
      </w:r>
    </w:p>
    <w:p w:rsidR="00F26DD0" w:rsidRP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αναφορικές προτάσεις διακρίνονται σε: </w:t>
      </w:r>
      <w:r w:rsidRPr="00F26DD0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προσδιοριστικές και  παραθετικές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F26DD0" w:rsidRP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F26DD0">
        <w:rPr>
          <w:rFonts w:ascii="Calibri" w:eastAsia="Times New Roman" w:hAnsi="Calibri" w:cs="Calibri"/>
          <w:b/>
          <w:bCs/>
          <w:color w:val="000000"/>
          <w:sz w:val="25"/>
          <w:lang w:eastAsia="el-GR"/>
        </w:rPr>
        <w:t>• Προσδιοριστικές</w:t>
      </w:r>
    </w:p>
    <w:p w:rsidR="00F26DD0" w:rsidRP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λέγονται οι αναφορικές προτάσεις που αποτελούν αναγκαίο προσδιορισμό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 απαρα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τητο συμπλήρωμα της προηγούμενης πρότασης, χωρίς τον οποίο το νόημά της δεν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ναι ολοκληρωμένο και ακριβές. Αποτελούν, δηλαδή, ένα νόημα αδιαίρετο (σημασιολογ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κό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κριτήριο/νόημα). Ακολουθούν τον προσδιοριζόμενο όρο χωρίς κόμμα (στίξη). Διαβ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ά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ζονται</w:t>
      </w:r>
      <w:r w:rsidR="00CF5A4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τον προσδιοριζόμενο όρο, χωρίς παύση και διαφορετικό επιτονισμό (επιτον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σμός). Για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παράδειγμα:</w:t>
      </w:r>
    </w:p>
    <w:p w:rsidR="00F26DD0" w:rsidRDefault="00F26DD0" w:rsidP="00CF5A46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</w:pPr>
      <w:r w:rsidRPr="00F26DD0"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  <w:t xml:space="preserve">Η Αθήνα είναι η πόλη που αγαπώ. </w:t>
      </w:r>
      <w:r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  <w:t xml:space="preserve">               </w:t>
      </w:r>
      <w:r w:rsidRPr="00F26DD0"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  <w:t xml:space="preserve">Το μάθημα που μου αρέσει είναι η </w:t>
      </w:r>
      <w:r w:rsidRPr="00F26DD0"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  <w:t>Ι</w:t>
      </w:r>
      <w:r w:rsidRPr="00F26DD0">
        <w:rPr>
          <w:rFonts w:ascii="Calibri" w:eastAsia="Times New Roman" w:hAnsi="Calibri" w:cs="Calibri"/>
          <w:b/>
          <w:i/>
          <w:iCs/>
          <w:color w:val="000000"/>
          <w:sz w:val="24"/>
          <w:lang w:eastAsia="el-GR"/>
        </w:rPr>
        <w:t>στορία.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1050"/>
        <w:textAlignment w:val="baseline"/>
        <w:rPr>
          <w:rFonts w:ascii="Helvetica" w:eastAsia="Times New Roman" w:hAnsi="Helvetica" w:cs="Helvetica"/>
          <w:b/>
          <w:color w:val="000000"/>
          <w:sz w:val="20"/>
          <w:szCs w:val="18"/>
          <w:lang w:eastAsia="el-GR"/>
        </w:rPr>
      </w:pP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b/>
          <w:bCs/>
          <w:color w:val="000000"/>
          <w:sz w:val="24"/>
          <w:lang w:eastAsia="el-GR"/>
        </w:rPr>
        <w:t>• Προσθετικές/παραθετικές</w:t>
      </w:r>
    </w:p>
    <w:p w:rsidR="00F26DD0" w:rsidRPr="00F26DD0" w:rsidRDefault="00F26DD0" w:rsidP="00F26DD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λέγονται οι αναφορικές προτάσεις που δεν αποτελούν απαραίτητο συμπλ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ή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ρωμα στον όρο που προσδιορίζουν. Οι πληροφορίες που περιέχουν οι προτάσεις αυτές παρο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σιάζονται ως ξεχωριστές και δευτερεύουσες ως προς το περιεχόμενο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του προσδιορ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ζόμενου όρου. Τότε έχουμε στον γραπτό λόγο κόμμα ή στον προφορικό πα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ύ</w:t>
      </w: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ση.</w:t>
      </w:r>
    </w:p>
    <w:p w:rsidR="00F26DD0" w:rsidRPr="00F26DD0" w:rsidRDefault="00F26DD0" w:rsidP="00F26DD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26DD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Για παράδειγμα:</w:t>
      </w:r>
    </w:p>
    <w:p w:rsid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</w:pPr>
      <w:r w:rsidRPr="00F26DD0"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  <w:t>Μας μίλησε για το Νίκο, που μας είναι άγνωστος.</w:t>
      </w:r>
      <w:r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  <w:t xml:space="preserve"> </w:t>
      </w: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F26DD0"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  <w:t xml:space="preserve"> Διαβάζω το μάθημα </w:t>
      </w:r>
      <w:r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  <w:t xml:space="preserve">της </w:t>
      </w:r>
      <w:r w:rsidRPr="00F26DD0">
        <w:rPr>
          <w:rFonts w:ascii="Calibri" w:eastAsia="Times New Roman" w:hAnsi="Calibri" w:cs="Calibri"/>
          <w:i/>
          <w:iCs/>
          <w:color w:val="000000"/>
          <w:sz w:val="23"/>
          <w:lang w:eastAsia="el-GR"/>
        </w:rPr>
        <w:t>ιστορίας, που είναι το αγαπημένο μου μάθημα.</w:t>
      </w:r>
    </w:p>
    <w:p w:rsid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lang w:eastAsia="el-GR"/>
        </w:rPr>
      </w:pP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Για να καταλάβουμε τη διαφορά, ας δούμε το εξής παράδειγμα:</w:t>
      </w: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 xml:space="preserve">α) </w:t>
      </w:r>
      <w:r w:rsidRPr="00F26DD0">
        <w:rPr>
          <w:rFonts w:ascii="Calibri" w:eastAsia="Times New Roman" w:hAnsi="Calibri" w:cs="Calibri"/>
          <w:i/>
          <w:iCs/>
          <w:color w:val="000000"/>
          <w:sz w:val="24"/>
          <w:lang w:eastAsia="el-GR"/>
        </w:rPr>
        <w:t>Τα βιβλία της βιβλιοθήκης που είναι άδετα στάλθηκαν για βιβλιοδεσία.</w:t>
      </w: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β)</w:t>
      </w:r>
      <w:r w:rsidRPr="00F26DD0">
        <w:rPr>
          <w:rFonts w:ascii="Calibri" w:eastAsia="Times New Roman" w:hAnsi="Calibri" w:cs="Calibri"/>
          <w:i/>
          <w:iCs/>
          <w:color w:val="000000"/>
          <w:sz w:val="24"/>
          <w:lang w:eastAsia="el-GR"/>
        </w:rPr>
        <w:t>Τα βιβλία της βιβλιοθήκης, που είναι άδετα, στάλθηκαν για βιβλιοδεσία.</w:t>
      </w:r>
    </w:p>
    <w:p w:rsidR="005308E3" w:rsidRDefault="005308E3"/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lang w:eastAsia="el-GR"/>
        </w:rPr>
        <w:t>Στην πρώτη περίπτωση όλα τα βιβλία της βιβλιοθήκης είναι άδετα και στάλθηκαν για βιβλ</w:t>
      </w:r>
      <w:r w:rsidRPr="00F26DD0">
        <w:rPr>
          <w:rFonts w:ascii="Calibri" w:eastAsia="Times New Roman" w:hAnsi="Calibri" w:cs="Calibri"/>
          <w:color w:val="000000"/>
          <w:lang w:eastAsia="el-GR"/>
        </w:rPr>
        <w:t>ι</w:t>
      </w:r>
      <w:r w:rsidRPr="00F26DD0">
        <w:rPr>
          <w:rFonts w:ascii="Calibri" w:eastAsia="Times New Roman" w:hAnsi="Calibri" w:cs="Calibri"/>
          <w:color w:val="000000"/>
          <w:lang w:eastAsia="el-GR"/>
        </w:rPr>
        <w:t>οδεσία.</w:t>
      </w: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3"/>
          <w:lang w:eastAsia="el-GR"/>
        </w:rPr>
        <w:t>Στη δεύτερη περίπτωση, όσα από τα βιβλία της βιβλιοθήκης είναι άδετα, αυτά στάλθ</w:t>
      </w:r>
      <w:r w:rsidRPr="00F26DD0">
        <w:rPr>
          <w:rFonts w:ascii="Calibri" w:eastAsia="Times New Roman" w:hAnsi="Calibri" w:cs="Calibri"/>
          <w:color w:val="000000"/>
          <w:sz w:val="23"/>
          <w:lang w:eastAsia="el-GR"/>
        </w:rPr>
        <w:t>η</w:t>
      </w:r>
      <w:r w:rsidRPr="00F26DD0">
        <w:rPr>
          <w:rFonts w:ascii="Calibri" w:eastAsia="Times New Roman" w:hAnsi="Calibri" w:cs="Calibri"/>
          <w:color w:val="000000"/>
          <w:sz w:val="23"/>
          <w:lang w:eastAsia="el-GR"/>
        </w:rPr>
        <w:t>καν για</w:t>
      </w:r>
    </w:p>
    <w:p w:rsidR="00F26DD0" w:rsidRP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lang w:eastAsia="el-GR"/>
        </w:rPr>
        <w:t>βιβλιοδεσία.</w:t>
      </w:r>
    </w:p>
    <w:p w:rsidR="00F26DD0" w:rsidRDefault="00F26DD0" w:rsidP="00F26DD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l-GR"/>
        </w:rPr>
      </w:pP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 </w:t>
      </w:r>
      <w:r w:rsidRPr="00F26DD0">
        <w:rPr>
          <w:rFonts w:ascii="Calibri" w:eastAsia="Times New Roman" w:hAnsi="Calibri" w:cs="Calibri"/>
          <w:color w:val="000000"/>
          <w:sz w:val="28"/>
          <w:lang w:eastAsia="el-GR"/>
        </w:rPr>
        <w:t>Να χαρακτηρίσετε τις υπογραμμισμένες αναφορικές προτάσεις, σημειώνοντας αν είναι: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8"/>
          <w:lang w:eastAsia="el-GR"/>
        </w:rPr>
        <w:t xml:space="preserve"> προσδιοριστικές ή παραθετικές.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1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 Ο τρόπος με τον οποίο ο Ευριπίδης χειρίζεται τους μύθους καθορίζει και τους χειρ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ι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σμούς της πλοκής του έργου και του ήθους των ηρώων του.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2. Προτιμώ το έξοχο σκηνικό του Μυταρά από τα σχηματικά κοστούμια και ιδιαίτερα του Μ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νέλαου, που θύμιζε τον Μεγαλέξανδρο του </w:t>
      </w:r>
      <w:proofErr w:type="spellStart"/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Σπαθάρη</w:t>
      </w:r>
      <w:proofErr w:type="spellEnd"/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3. Προκαλεί πράγματι δέος η μελέτη που κρύβει αυτό το υποκριτικό κατόρθωμα.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4. Εδώ έχουμε να κάνουμε με αυτό που οι Ρώσοι δάσκαλοι ονόμαζαν επιστημονική δ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ό</w:t>
      </w: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μηση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ενός θεατρικού προσώπου.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5. Ανάμεσα σε αμφισβητούμενες ιδέες, πράγματα, κόμματα, ανθρώπους, έργα των ανθρ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ώ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πων,</w:t>
      </w:r>
      <w:r>
        <w:rPr>
          <w:rFonts w:ascii="Calibri" w:eastAsia="Times New Roman" w:hAnsi="Calibri" w:cs="Calibri"/>
          <w:color w:val="000000"/>
          <w:sz w:val="24"/>
          <w:lang w:eastAsia="el-GR"/>
        </w:rPr>
        <w:t xml:space="preserve"> 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το αρνάκι φούρνου αποτελεί, πράγματι, το μοναδικό σημείο όπου επιτυγχάνεται η πλ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ή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ρης</w:t>
      </w:r>
      <w:r>
        <w:rPr>
          <w:rFonts w:ascii="Calibri" w:eastAsia="Times New Roman" w:hAnsi="Calibri" w:cs="Calibri"/>
          <w:color w:val="000000"/>
          <w:sz w:val="24"/>
          <w:lang w:eastAsia="el-GR"/>
        </w:rPr>
        <w:t xml:space="preserve"> 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και άνευ εξαιρέσεων ομοφωνία των Ελλήνων.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6. Την Ιστορία τη γράφει κανείς όπως θέλει.</w:t>
      </w:r>
    </w:p>
    <w:p w:rsidR="00F26DD0" w:rsidRPr="00F26DD0" w:rsidRDefault="00F26DD0" w:rsidP="00F26DD0">
      <w:pPr>
        <w:shd w:val="clear" w:color="auto" w:fill="FFFFFF"/>
        <w:spacing w:after="0" w:line="240" w:lineRule="auto"/>
        <w:ind w:right="-99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18"/>
          <w:lang w:eastAsia="el-GR"/>
        </w:rPr>
      </w:pPr>
      <w:r w:rsidRPr="00CF5A46">
        <w:rPr>
          <w:rFonts w:ascii="Calibri" w:eastAsia="Times New Roman" w:hAnsi="Calibri" w:cs="Calibri"/>
          <w:color w:val="000000"/>
          <w:lang w:eastAsia="el-GR"/>
        </w:rPr>
        <w:t>7. Ήρθε λοιπόν από τη Μικρά Ασία, έμεινε στην Αθήνα, πήγε στην Αμερική, όπου σπο</w:t>
      </w:r>
      <w:r w:rsidRPr="00CF5A46">
        <w:rPr>
          <w:rFonts w:ascii="Calibri" w:eastAsia="Times New Roman" w:hAnsi="Calibri" w:cs="Calibri"/>
          <w:color w:val="000000"/>
          <w:lang w:eastAsia="el-GR"/>
        </w:rPr>
        <w:t>ύ</w:t>
      </w:r>
      <w:r w:rsidRPr="00CF5A46">
        <w:rPr>
          <w:rFonts w:ascii="Calibri" w:eastAsia="Times New Roman" w:hAnsi="Calibri" w:cs="Calibri"/>
          <w:color w:val="000000"/>
          <w:lang w:eastAsia="el-GR"/>
        </w:rPr>
        <w:t>δασε</w:t>
      </w:r>
      <w:r w:rsidR="00CF5A46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F26DD0">
        <w:rPr>
          <w:rFonts w:ascii="Calibri" w:eastAsia="Times New Roman" w:hAnsi="Calibri" w:cs="Calibri"/>
          <w:color w:val="000000"/>
          <w:sz w:val="24"/>
          <w:lang w:eastAsia="el-GR"/>
        </w:rPr>
        <w:t>σινεμά.</w:t>
      </w:r>
    </w:p>
    <w:sectPr w:rsidR="00F26DD0" w:rsidRPr="00F26DD0" w:rsidSect="00F26DD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F26DD0"/>
    <w:rsid w:val="005308E3"/>
    <w:rsid w:val="00CF5A46"/>
    <w:rsid w:val="00F2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DD0"/>
    <w:rPr>
      <w:b/>
      <w:bCs/>
    </w:rPr>
  </w:style>
  <w:style w:type="character" w:customStyle="1" w:styleId="font6">
    <w:name w:val="font6"/>
    <w:basedOn w:val="a0"/>
    <w:rsid w:val="00F26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3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666941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50601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201022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008818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841636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283643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049144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92635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694476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184668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229696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333926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683717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43547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44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451202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459736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218347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104421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734072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697023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699337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582183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269357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53148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313547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058839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117503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026629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590050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141453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82119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518511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366768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760571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225331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551668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888795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200364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756164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054898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680517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623641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883766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319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32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790090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613176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321477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624029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405647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553756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306444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150720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862555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247442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481436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199785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704302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740972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568037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899753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089277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946319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716897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939106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824032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498775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834605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241284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2021-02-17T15:51:00Z</dcterms:created>
  <dcterms:modified xsi:type="dcterms:W3CDTF">2021-02-17T16:07:00Z</dcterms:modified>
</cp:coreProperties>
</file>