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Φύλλο Έργου – Σύστημα Ballast (Διαχωριστικά Νερά)</w:t>
      </w:r>
    </w:p>
    <w:p>
      <w:r>
        <w:t>🔹 Μάθημα: Λειτουργία και Έλεγχος Ballast System</w:t>
      </w:r>
    </w:p>
    <w:p>
      <w:r>
        <w:t>🔹 Ειδικότητα: Μηχανικοί Εμπορικού Ναυτικού</w:t>
      </w:r>
    </w:p>
    <w:p>
      <w:r>
        <w:t>🔹 Διάρκεια: 3 διδακτικές ώρες (3 x 45’)</w:t>
      </w:r>
    </w:p>
    <w:p>
      <w:pPr>
        <w:pStyle w:val="Heading1"/>
      </w:pPr>
      <w:r>
        <w:t>🎯 Διδακτικοί Στόχοι</w:t>
      </w:r>
    </w:p>
    <w:p>
      <w:pPr>
        <w:pStyle w:val="ListBullet"/>
      </w:pPr>
      <w:r>
        <w:t>Να κατανοούν τον ρόλο του ballast στην ευστάθεια του πλοίου.</w:t>
      </w:r>
    </w:p>
    <w:p>
      <w:pPr>
        <w:pStyle w:val="ListBullet"/>
      </w:pPr>
      <w:r>
        <w:t>Να αναγνωρίζουν panels ID162 και ID163 και τις λειτουργίες τους.</w:t>
      </w:r>
    </w:p>
    <w:p>
      <w:pPr>
        <w:pStyle w:val="ListBullet"/>
      </w:pPr>
      <w:r>
        <w:t>Να εκτελούν διαδικασίες εκκίνησης αντλιών και βαλβίδων ballast.</w:t>
      </w:r>
    </w:p>
    <w:p>
      <w:pPr>
        <w:pStyle w:val="ListBullet"/>
      </w:pPr>
      <w:r>
        <w:t>Να αντιμετωπίζουν alarms και να αξιολογούν κινήσεις βαρών.</w:t>
      </w:r>
    </w:p>
    <w:p>
      <w:pPr>
        <w:pStyle w:val="Heading1"/>
      </w:pPr>
      <w:r>
        <w:t>🧠 1η Διδακτική Ώρα – Θεωρία &amp; Σύστημα</w:t>
      </w:r>
    </w:p>
    <w:p>
      <w:r>
        <w:t>Δραστηριότητες:</w:t>
      </w:r>
    </w:p>
    <w:p>
      <w:pPr>
        <w:pStyle w:val="ListBullet"/>
      </w:pPr>
      <w:r>
        <w:t>Παρουσίαση βασικών αρχών ballast και δεξαμενών.</w:t>
      </w:r>
    </w:p>
    <w:p>
      <w:pPr>
        <w:pStyle w:val="ListBullet"/>
      </w:pPr>
      <w:r>
        <w:t>Ανάλυση των ID panels και ροή ενέργειας.</w:t>
      </w:r>
    </w:p>
    <w:p>
      <w:pPr>
        <w:pStyle w:val="ListBullet"/>
      </w:pPr>
      <w:r>
        <w:t>Περιγραφή τύπων λειτουργιών: gravity/forced fill/discharge.</w:t>
      </w:r>
    </w:p>
    <w:p>
      <w:pPr>
        <w:pStyle w:val="Heading1"/>
      </w:pPr>
      <w:r>
        <w:t>🛠️ 2η Διδακτική Ώρα – Πρακτική σε Προσομοιωτή</w:t>
      </w:r>
    </w:p>
    <w:p>
      <w:r>
        <w:t>Δραστηριότητες:</w:t>
      </w:r>
    </w:p>
    <w:p>
      <w:pPr>
        <w:pStyle w:val="ListBullet"/>
      </w:pPr>
      <w:r>
        <w:t>Εκκίνηση της αντλίας μέσω ID162.</w:t>
      </w:r>
    </w:p>
    <w:p>
      <w:pPr>
        <w:pStyle w:val="ListBullet"/>
      </w:pPr>
      <w:r>
        <w:t>Εκτέλεση δοκιμής πλήρωσης/εκκένωσης μέσω ID163.</w:t>
      </w:r>
    </w:p>
    <w:p>
      <w:pPr>
        <w:pStyle w:val="ListBullet"/>
      </w:pPr>
      <w:r>
        <w:t>Καταγραφή πίεσης, χρόνων λειτουργίας και alarms.</w:t>
      </w:r>
    </w:p>
    <w:p>
      <w:pPr>
        <w:pStyle w:val="Heading1"/>
      </w:pPr>
      <w:r>
        <w:t>🧪 3η Διδακτική Ώρα – Αξιολόγηση &amp; Ανατροφοδότηση</w:t>
      </w:r>
    </w:p>
    <w:p>
      <w:r>
        <w:t>Δραστηριότητες:</w:t>
      </w:r>
    </w:p>
    <w:p>
      <w:pPr>
        <w:pStyle w:val="ListBullet"/>
      </w:pPr>
      <w:r>
        <w:t>Quiz 10 ερωτήσεων πολλαπλής επιλογής.</w:t>
      </w:r>
    </w:p>
    <w:p>
      <w:pPr>
        <w:pStyle w:val="ListBullet"/>
      </w:pPr>
      <w:r>
        <w:t>Σενάριο βλάβης: αντλία ballast δεν ανταποκρίνεται.</w:t>
      </w:r>
    </w:p>
    <w:p>
      <w:pPr>
        <w:pStyle w:val="ListBullet"/>
      </w:pPr>
      <w:r>
        <w:t>Ομαδική περιγραφή ενεργειών και εναλλακτικής διαδικασίας.</w:t>
      </w:r>
    </w:p>
    <w:p>
      <w:pPr>
        <w:pStyle w:val="Heading2"/>
      </w:pPr>
      <w:r>
        <w:t>Κριτήρια Αξιολόγησης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Κριτήριο</w:t>
            </w:r>
          </w:p>
        </w:tc>
        <w:tc>
          <w:tcPr>
            <w:tcW w:type="dxa" w:w="4320"/>
          </w:tcPr>
          <w:p>
            <w:r>
              <w:t>Βαθμολογία</w:t>
            </w:r>
          </w:p>
        </w:tc>
      </w:tr>
      <w:tr>
        <w:tc>
          <w:tcPr>
            <w:tcW w:type="dxa" w:w="4320"/>
          </w:tcPr>
          <w:p>
            <w:r>
              <w:t>Κατανόηση λειτουργίας ballast system</w:t>
            </w:r>
          </w:p>
        </w:tc>
        <w:tc>
          <w:tcPr>
            <w:tcW w:type="dxa" w:w="4320"/>
          </w:tcPr>
          <w:p>
            <w:r>
              <w:t>/10</w:t>
            </w:r>
          </w:p>
        </w:tc>
      </w:tr>
      <w:tr>
        <w:tc>
          <w:tcPr>
            <w:tcW w:type="dxa" w:w="4320"/>
          </w:tcPr>
          <w:p>
            <w:r>
              <w:t>Σωστή χρήση ID panels</w:t>
            </w:r>
          </w:p>
        </w:tc>
        <w:tc>
          <w:tcPr>
            <w:tcW w:type="dxa" w:w="4320"/>
          </w:tcPr>
          <w:p>
            <w:r>
              <w:t>/10</w:t>
            </w:r>
          </w:p>
        </w:tc>
      </w:tr>
      <w:tr>
        <w:tc>
          <w:tcPr>
            <w:tcW w:type="dxa" w:w="4320"/>
          </w:tcPr>
          <w:p>
            <w:r>
              <w:t>Αντίδραση σε βλάβη/overflow</w:t>
            </w:r>
          </w:p>
        </w:tc>
        <w:tc>
          <w:tcPr>
            <w:tcW w:type="dxa" w:w="4320"/>
          </w:tcPr>
          <w:p>
            <w:r>
              <w:t>/5</w:t>
            </w:r>
          </w:p>
        </w:tc>
      </w:tr>
      <w:tr>
        <w:tc>
          <w:tcPr>
            <w:tcW w:type="dxa" w:w="4320"/>
          </w:tcPr>
          <w:p>
            <w:r>
              <w:t>Συνεργασία ομάδας</w:t>
            </w:r>
          </w:p>
        </w:tc>
        <w:tc>
          <w:tcPr>
            <w:tcW w:type="dxa" w:w="4320"/>
          </w:tcPr>
          <w:p>
            <w:r>
              <w:t>/5</w:t>
            </w:r>
          </w:p>
        </w:tc>
      </w:tr>
      <w:tr>
        <w:tc>
          <w:tcPr>
            <w:tcW w:type="dxa" w:w="4320"/>
          </w:tcPr>
          <w:p>
            <w:r>
              <w:t>Σύνολο</w:t>
            </w:r>
          </w:p>
        </w:tc>
        <w:tc>
          <w:tcPr>
            <w:tcW w:type="dxa" w:w="4320"/>
          </w:tcPr>
          <w:p>
            <w:r>
              <w:t>/30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