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3F" w:rsidRPr="00AE3B3F" w:rsidRDefault="00AE3B3F" w:rsidP="00AE3B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E3B3F">
        <w:rPr>
          <w:rFonts w:ascii="Times New Roman" w:hAnsi="Times New Roman" w:cs="Times New Roman"/>
          <w:b/>
          <w:bCs/>
          <w:sz w:val="20"/>
          <w:szCs w:val="20"/>
        </w:rPr>
        <w:t>[ΤΘ]</w:t>
      </w:r>
    </w:p>
    <w:p w:rsidR="00F05CA9" w:rsidRDefault="00F05CA9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3B3F" w:rsidRPr="00AE3B3F" w:rsidRDefault="00AE3B3F" w:rsidP="00AE3B3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 w:rsidRPr="00AE3B3F">
        <w:rPr>
          <w:rFonts w:ascii="Times New Roman" w:hAnsi="Times New Roman" w:cs="Times New Roman"/>
          <w:b/>
          <w:iCs/>
          <w:caps/>
          <w:color w:val="FF0000"/>
          <w:sz w:val="20"/>
          <w:szCs w:val="20"/>
        </w:rPr>
        <w:t>Ενδεικτικές Απαντήσεις</w:t>
      </w:r>
    </w:p>
    <w:p w:rsidR="00AE3B3F" w:rsidRP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i/>
          <w:iCs/>
        </w:rPr>
        <w:t>(Επισημαίνεται ότι οι απαντήσεις που προτείνονται για τα θέματα είναι ενδεικτικές. Κάθε άλλη απάντηση, κατάλληλα τεκμηριωμένη, θεωρείται αποδεκτή.)</w:t>
      </w:r>
    </w:p>
    <w:p w:rsidR="0001056F" w:rsidRDefault="0001056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3B3F">
        <w:rPr>
          <w:rFonts w:ascii="Times New Roman" w:hAnsi="Times New Roman" w:cs="Times New Roman"/>
          <w:b/>
          <w:bCs/>
        </w:rPr>
        <w:t>ΘΕΜΑ 1 (μονάδες 35)</w:t>
      </w: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B3F">
        <w:rPr>
          <w:rFonts w:ascii="Times New Roman" w:hAnsi="Times New Roman" w:cs="Times New Roman"/>
          <w:b/>
          <w:bCs/>
        </w:rPr>
        <w:t>1ο υποερώτημα (μονάδες 10)</w:t>
      </w:r>
    </w:p>
    <w:p w:rsidR="00AE3B3F" w:rsidRP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</w:rPr>
        <w:t>α.</w:t>
      </w:r>
      <w:r w:rsidRPr="00AE3B3F">
        <w:rPr>
          <w:rFonts w:ascii="Times New Roman" w:hAnsi="Times New Roman" w:cs="Times New Roman"/>
        </w:rPr>
        <w:t> Λ</w:t>
      </w:r>
      <w:r w:rsidRPr="00AE3B3F">
        <w:rPr>
          <w:rFonts w:ascii="Times New Roman" w:hAnsi="Times New Roman" w:cs="Times New Roman"/>
        </w:rPr>
        <w:br/>
      </w:r>
      <w:r w:rsidRPr="00AE3B3F">
        <w:rPr>
          <w:rFonts w:ascii="Times New Roman" w:hAnsi="Times New Roman" w:cs="Times New Roman"/>
          <w:b/>
          <w:bCs/>
        </w:rPr>
        <w:t>β.</w:t>
      </w:r>
      <w:r w:rsidRPr="00AE3B3F">
        <w:rPr>
          <w:rFonts w:ascii="Times New Roman" w:hAnsi="Times New Roman" w:cs="Times New Roman"/>
        </w:rPr>
        <w:t> Σ</w:t>
      </w:r>
      <w:r w:rsidRPr="00AE3B3F">
        <w:rPr>
          <w:rFonts w:ascii="Times New Roman" w:hAnsi="Times New Roman" w:cs="Times New Roman"/>
        </w:rPr>
        <w:br/>
      </w:r>
      <w:r w:rsidRPr="00AE3B3F">
        <w:rPr>
          <w:rFonts w:ascii="Times New Roman" w:hAnsi="Times New Roman" w:cs="Times New Roman"/>
          <w:b/>
          <w:bCs/>
        </w:rPr>
        <w:t>γ.</w:t>
      </w:r>
      <w:r w:rsidRPr="00AE3B3F">
        <w:rPr>
          <w:rFonts w:ascii="Times New Roman" w:hAnsi="Times New Roman" w:cs="Times New Roman"/>
        </w:rPr>
        <w:t> Σ</w:t>
      </w:r>
      <w:r w:rsidRPr="00AE3B3F">
        <w:rPr>
          <w:rFonts w:ascii="Times New Roman" w:hAnsi="Times New Roman" w:cs="Times New Roman"/>
        </w:rPr>
        <w:br/>
      </w:r>
      <w:r w:rsidRPr="00AE3B3F">
        <w:rPr>
          <w:rFonts w:ascii="Times New Roman" w:hAnsi="Times New Roman" w:cs="Times New Roman"/>
          <w:b/>
          <w:bCs/>
        </w:rPr>
        <w:t>δ.</w:t>
      </w:r>
      <w:r w:rsidRPr="00AE3B3F">
        <w:rPr>
          <w:rFonts w:ascii="Times New Roman" w:hAnsi="Times New Roman" w:cs="Times New Roman"/>
        </w:rPr>
        <w:t> Λ</w:t>
      </w:r>
      <w:r w:rsidRPr="00AE3B3F">
        <w:rPr>
          <w:rFonts w:ascii="Times New Roman" w:hAnsi="Times New Roman" w:cs="Times New Roman"/>
        </w:rPr>
        <w:br/>
      </w:r>
      <w:r w:rsidRPr="00AE3B3F">
        <w:rPr>
          <w:rFonts w:ascii="Times New Roman" w:hAnsi="Times New Roman" w:cs="Times New Roman"/>
          <w:b/>
          <w:bCs/>
        </w:rPr>
        <w:t>ε.</w:t>
      </w:r>
      <w:r w:rsidRPr="00AE3B3F">
        <w:rPr>
          <w:rFonts w:ascii="Times New Roman" w:hAnsi="Times New Roman" w:cs="Times New Roman"/>
        </w:rPr>
        <w:t> Σ</w:t>
      </w: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B3F">
        <w:rPr>
          <w:rFonts w:ascii="Times New Roman" w:hAnsi="Times New Roman" w:cs="Times New Roman"/>
          <w:b/>
          <w:bCs/>
        </w:rPr>
        <w:t>2ο υποερώτημα (μονάδες 10)</w:t>
      </w:r>
    </w:p>
    <w:p w:rsidR="00AE3B3F" w:rsidRP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</w:rPr>
        <w:t>Τρόποι ανάπτυξης της πρώτης παραγράφου του Κειμένου 1:</w:t>
      </w:r>
    </w:p>
    <w:p w:rsidR="00AE3B3F" w:rsidRPr="00AE3B3F" w:rsidRDefault="00AE3B3F" w:rsidP="00AE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</w:rPr>
        <w:t>Αιτιολόγηση 1η:</w:t>
      </w:r>
      <w:r w:rsidRPr="00AE3B3F">
        <w:rPr>
          <w:rFonts w:ascii="Times New Roman" w:hAnsi="Times New Roman" w:cs="Times New Roman"/>
        </w:rPr>
        <w:t> Οι λεπτομέρειες της παραγράφου («Από τη μια ο ρόλος της… κο</w:t>
      </w:r>
      <w:r w:rsidRPr="00AE3B3F">
        <w:rPr>
          <w:rFonts w:ascii="Times New Roman" w:hAnsi="Times New Roman" w:cs="Times New Roman"/>
        </w:rPr>
        <w:t>ι</w:t>
      </w:r>
      <w:r w:rsidRPr="00AE3B3F">
        <w:rPr>
          <w:rFonts w:ascii="Times New Roman" w:hAnsi="Times New Roman" w:cs="Times New Roman"/>
        </w:rPr>
        <w:t>νωνικοποίηση)» αιτιολογούν τη θεματική περίοδο («Η αξία της εργασίας… πολ</w:t>
      </w:r>
      <w:r w:rsidRPr="00AE3B3F">
        <w:rPr>
          <w:rFonts w:ascii="Times New Roman" w:hAnsi="Times New Roman" w:cs="Times New Roman"/>
        </w:rPr>
        <w:t>ύ</w:t>
      </w:r>
      <w:r w:rsidRPr="00AE3B3F">
        <w:rPr>
          <w:rFonts w:ascii="Times New Roman" w:hAnsi="Times New Roman" w:cs="Times New Roman"/>
        </w:rPr>
        <w:t>πλευρη»). Υπονοείται η λέξη «διότι» στην αρχή των λεπτομερειών. Η αιτιολόγηση προσφέρει την απαραίτητη τεκμηρίωση στη θέση της συγγραφέα, η οποία τοποθετε</w:t>
      </w:r>
      <w:r w:rsidRPr="00AE3B3F">
        <w:rPr>
          <w:rFonts w:ascii="Times New Roman" w:hAnsi="Times New Roman" w:cs="Times New Roman"/>
        </w:rPr>
        <w:t>ί</w:t>
      </w:r>
      <w:r w:rsidRPr="00AE3B3F">
        <w:rPr>
          <w:rFonts w:ascii="Times New Roman" w:hAnsi="Times New Roman" w:cs="Times New Roman"/>
        </w:rPr>
        <w:t>ται στη θεματική περίοδο.</w:t>
      </w:r>
    </w:p>
    <w:p w:rsidR="00AE3B3F" w:rsidRPr="00AE3B3F" w:rsidRDefault="00AE3B3F" w:rsidP="00AE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</w:rPr>
        <w:t>Διαίρεση:</w:t>
      </w:r>
      <w:r w:rsidRPr="00AE3B3F">
        <w:rPr>
          <w:rFonts w:ascii="Times New Roman" w:hAnsi="Times New Roman" w:cs="Times New Roman"/>
        </w:rPr>
        <w:t> «Από τη μια ο ρόλος της είναι βιοποριστικός […], από την άλλη ψυχολ</w:t>
      </w:r>
      <w:r w:rsidRPr="00AE3B3F">
        <w:rPr>
          <w:rFonts w:ascii="Times New Roman" w:hAnsi="Times New Roman" w:cs="Times New Roman"/>
        </w:rPr>
        <w:t>ο</w:t>
      </w:r>
      <w:r w:rsidRPr="00AE3B3F">
        <w:rPr>
          <w:rFonts w:ascii="Times New Roman" w:hAnsi="Times New Roman" w:cs="Times New Roman"/>
        </w:rPr>
        <w:t>γικός». Οι διαφορετικοί και σημαντικοί ρόλοι της εργασίας αποδεικνύουν την «π</w:t>
      </w:r>
      <w:r w:rsidRPr="00AE3B3F">
        <w:rPr>
          <w:rFonts w:ascii="Times New Roman" w:hAnsi="Times New Roman" w:cs="Times New Roman"/>
        </w:rPr>
        <w:t>ο</w:t>
      </w:r>
      <w:r w:rsidRPr="00AE3B3F">
        <w:rPr>
          <w:rFonts w:ascii="Times New Roman" w:hAnsi="Times New Roman" w:cs="Times New Roman"/>
        </w:rPr>
        <w:t>λύπλευρη» αξία της.</w:t>
      </w:r>
    </w:p>
    <w:p w:rsidR="00AE3B3F" w:rsidRPr="00AE3B3F" w:rsidRDefault="00AE3B3F" w:rsidP="00AE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</w:rPr>
        <w:t>Παραδείγματα:</w:t>
      </w:r>
      <w:r w:rsidRPr="00AE3B3F">
        <w:rPr>
          <w:rFonts w:ascii="Times New Roman" w:hAnsi="Times New Roman" w:cs="Times New Roman"/>
        </w:rPr>
        <w:t> τα στοιχεία που παρατίθενται εντός παρενθέσεων ως παραδείγματα, στην πρώτη περίπτωση συγκεκριμενοποιούν τον βιολογικό ρόλο της εργασίας («στ</w:t>
      </w:r>
      <w:r w:rsidRPr="00AE3B3F">
        <w:rPr>
          <w:rFonts w:ascii="Times New Roman" w:hAnsi="Times New Roman" w:cs="Times New Roman"/>
        </w:rPr>
        <w:t>α</w:t>
      </w:r>
      <w:r w:rsidRPr="00AE3B3F">
        <w:rPr>
          <w:rFonts w:ascii="Times New Roman" w:hAnsi="Times New Roman" w:cs="Times New Roman"/>
        </w:rPr>
        <w:t>θερό εισόδημα, κάλυψη βιοτικών αναγκών, αυτονομία, ανεξαρτησία») και στην δε</w:t>
      </w:r>
      <w:r w:rsidRPr="00AE3B3F">
        <w:rPr>
          <w:rFonts w:ascii="Times New Roman" w:hAnsi="Times New Roman" w:cs="Times New Roman"/>
        </w:rPr>
        <w:t>ύ</w:t>
      </w:r>
      <w:r w:rsidRPr="00AE3B3F">
        <w:rPr>
          <w:rFonts w:ascii="Times New Roman" w:hAnsi="Times New Roman" w:cs="Times New Roman"/>
        </w:rPr>
        <w:t>τερη διασαφηνίζουν τις πλευρές της προσωπικότητας που ο ψυχολογικός ρόλος της εργασίας ευεργετεί («κριτική σκέψη, πρωτοβουλία, φαντασία/δημιουργικότητα, ψ</w:t>
      </w:r>
      <w:r w:rsidRPr="00AE3B3F">
        <w:rPr>
          <w:rFonts w:ascii="Times New Roman" w:hAnsi="Times New Roman" w:cs="Times New Roman"/>
        </w:rPr>
        <w:t>υ</w:t>
      </w:r>
      <w:r w:rsidRPr="00AE3B3F">
        <w:rPr>
          <w:rFonts w:ascii="Times New Roman" w:hAnsi="Times New Roman" w:cs="Times New Roman"/>
        </w:rPr>
        <w:t>χική ευφ</w:t>
      </w:r>
      <w:r w:rsidRPr="00AE3B3F">
        <w:rPr>
          <w:rFonts w:ascii="Times New Roman" w:hAnsi="Times New Roman" w:cs="Times New Roman"/>
        </w:rPr>
        <w:t>ο</w:t>
      </w:r>
      <w:r w:rsidRPr="00AE3B3F">
        <w:rPr>
          <w:rFonts w:ascii="Times New Roman" w:hAnsi="Times New Roman" w:cs="Times New Roman"/>
        </w:rPr>
        <w:t>ρία, κοινωνικοποίηση»).</w:t>
      </w:r>
    </w:p>
    <w:p w:rsidR="00AE3B3F" w:rsidRPr="00AE3B3F" w:rsidRDefault="00AE3B3F" w:rsidP="00AE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</w:rPr>
        <w:t>Αιτιολόγηση 2η:</w:t>
      </w:r>
      <w:r w:rsidRPr="00AE3B3F">
        <w:rPr>
          <w:rFonts w:ascii="Times New Roman" w:hAnsi="Times New Roman" w:cs="Times New Roman"/>
        </w:rPr>
        <w:t> Η φράση «καθώς βοηθά… κοινωνικοποίηση)» αιτιολογεί τον ψ</w:t>
      </w:r>
      <w:r w:rsidRPr="00AE3B3F">
        <w:rPr>
          <w:rFonts w:ascii="Times New Roman" w:hAnsi="Times New Roman" w:cs="Times New Roman"/>
        </w:rPr>
        <w:t>υ</w:t>
      </w:r>
      <w:r w:rsidRPr="00AE3B3F">
        <w:rPr>
          <w:rFonts w:ascii="Times New Roman" w:hAnsi="Times New Roman" w:cs="Times New Roman"/>
        </w:rPr>
        <w:t>χολογικό ρόλο της εργασίας και το «καθώς» έχει την έννοια του «διότι» (είναι δηλ</w:t>
      </w:r>
      <w:r w:rsidRPr="00AE3B3F">
        <w:rPr>
          <w:rFonts w:ascii="Times New Roman" w:hAnsi="Times New Roman" w:cs="Times New Roman"/>
        </w:rPr>
        <w:t>α</w:t>
      </w:r>
      <w:r w:rsidRPr="00AE3B3F">
        <w:rPr>
          <w:rFonts w:ascii="Times New Roman" w:hAnsi="Times New Roman" w:cs="Times New Roman"/>
        </w:rPr>
        <w:t>δή αιτιολογικός σύνδεσμος και όχι χρονικός).</w:t>
      </w: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B3F">
        <w:rPr>
          <w:rFonts w:ascii="Times New Roman" w:hAnsi="Times New Roman" w:cs="Times New Roman"/>
          <w:b/>
          <w:bCs/>
        </w:rPr>
        <w:t>3ο υποερώτημα (μονάδες 15)</w:t>
      </w:r>
    </w:p>
    <w:p w:rsidR="00AE3B3F" w:rsidRP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</w:rPr>
        <w:t>Ο μεταφορικός λόγος καθιστά το κείμενο ελκυστικότερο και πιο ενδιαφέρον προσδίδοντας στον αποδεικτικό λόγο μια παραστατική νότα συναισθήματος. Παράλληλα, ο λόγος γίνεται πιο στοχαστικός, καθώς το μήνυμα διατυπώνεται έμμεσα, με τρόπο που κινητοποιεί τις νο</w:t>
      </w:r>
      <w:r w:rsidRPr="00AE3B3F">
        <w:rPr>
          <w:rFonts w:ascii="Times New Roman" w:hAnsi="Times New Roman" w:cs="Times New Roman"/>
        </w:rPr>
        <w:t>η</w:t>
      </w:r>
      <w:r w:rsidRPr="00AE3B3F">
        <w:rPr>
          <w:rFonts w:ascii="Times New Roman" w:hAnsi="Times New Roman" w:cs="Times New Roman"/>
        </w:rPr>
        <w:t>τικές δυνάμεις του δέκτη, καθώς δε δίνεται πληροφοριακά.</w:t>
      </w:r>
    </w:p>
    <w:p w:rsidR="00AE3B3F" w:rsidRPr="00AE3B3F" w:rsidRDefault="00AE3B3F" w:rsidP="00AE3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3F">
        <w:rPr>
          <w:rFonts w:ascii="Times New Roman" w:hAnsi="Times New Roman" w:cs="Times New Roman"/>
          <w:b/>
          <w:bCs/>
          <w:i/>
          <w:iCs/>
        </w:rPr>
        <w:t>Μετατροπή της φράσης:</w:t>
      </w:r>
      <w:r w:rsidRPr="00AE3B3F">
        <w:rPr>
          <w:rFonts w:ascii="Times New Roman" w:hAnsi="Times New Roman" w:cs="Times New Roman"/>
        </w:rPr>
        <w:t> </w:t>
      </w:r>
      <w:r w:rsidRPr="00AE3B3F">
        <w:rPr>
          <w:rFonts w:ascii="Times New Roman" w:hAnsi="Times New Roman" w:cs="Times New Roman"/>
          <w:i/>
          <w:iCs/>
        </w:rPr>
        <w:t>Έτσι διασώζεται από τους διάφορους σκοπέλους που συναντά στον δρόμο του = Έτσι γλιτ</w:t>
      </w:r>
      <w:r w:rsidRPr="00AE3B3F">
        <w:rPr>
          <w:rFonts w:ascii="Times New Roman" w:hAnsi="Times New Roman" w:cs="Times New Roman"/>
          <w:i/>
          <w:iCs/>
        </w:rPr>
        <w:t>ώ</w:t>
      </w:r>
      <w:r w:rsidRPr="00AE3B3F">
        <w:rPr>
          <w:rFonts w:ascii="Times New Roman" w:hAnsi="Times New Roman" w:cs="Times New Roman"/>
          <w:i/>
          <w:iCs/>
        </w:rPr>
        <w:t>νει από τα εμπόδια / τις δυσκολίες που τυχαίνουν/προκύπτουν κατά την επαγγελματική του επιλογή.</w:t>
      </w:r>
    </w:p>
    <w:p w:rsidR="00AD604D" w:rsidRPr="00AE3B3F" w:rsidRDefault="00AD604D" w:rsidP="00AE3B3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D604D" w:rsidRPr="00AE3B3F" w:rsidSect="00010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691C"/>
    <w:multiLevelType w:val="multilevel"/>
    <w:tmpl w:val="3DF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3"/>
    <w:rsid w:val="0001056F"/>
    <w:rsid w:val="00AD604D"/>
    <w:rsid w:val="00AE3B3F"/>
    <w:rsid w:val="00F05CA9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3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3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2024-11-24T08:24:00Z</dcterms:created>
  <dcterms:modified xsi:type="dcterms:W3CDTF">2024-11-24T08:37:00Z</dcterms:modified>
</cp:coreProperties>
</file>