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8A" w:rsidRPr="0014378A" w:rsidRDefault="0014378A" w:rsidP="0014378A">
      <w:pPr>
        <w:spacing w:after="0" w:line="240" w:lineRule="auto"/>
        <w:jc w:val="right"/>
        <w:rPr>
          <w:rFonts w:ascii="Times New Roman" w:hAnsi="Times New Roman" w:cs="Times New Roman"/>
          <w:b/>
          <w:smallCaps/>
          <w:color w:val="FF0000"/>
          <w:sz w:val="20"/>
          <w:szCs w:val="20"/>
          <w:lang w:bidi="el-GR"/>
        </w:rPr>
      </w:pPr>
      <w:bookmarkStart w:id="0" w:name="bookmark0"/>
      <w:r>
        <w:rPr>
          <w:rFonts w:ascii="Times New Roman" w:hAnsi="Times New Roman" w:cs="Times New Roman"/>
          <w:b/>
          <w:smallCaps/>
          <w:color w:val="FF0000"/>
          <w:sz w:val="20"/>
          <w:szCs w:val="20"/>
          <w:lang w:bidi="el-GR"/>
        </w:rPr>
        <w:t>ΕΝΟΤΗΤΑ: ΣΕΞΙΣΜΟΣ</w:t>
      </w:r>
    </w:p>
    <w:p w:rsidR="00D8007E" w:rsidRPr="0014378A" w:rsidRDefault="00D8007E" w:rsidP="00D8007E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0"/>
          <w:szCs w:val="20"/>
          <w:lang w:bidi="el-GR"/>
        </w:rPr>
      </w:pPr>
      <w:r w:rsidRPr="0014378A">
        <w:rPr>
          <w:rFonts w:ascii="Times New Roman" w:hAnsi="Times New Roman" w:cs="Times New Roman"/>
          <w:b/>
          <w:smallCaps/>
          <w:sz w:val="20"/>
          <w:szCs w:val="20"/>
          <w:lang w:val="en-US" w:bidi="el-GR"/>
        </w:rPr>
        <w:t>Deborah</w:t>
      </w:r>
      <w:r w:rsidRPr="0014378A">
        <w:rPr>
          <w:rFonts w:ascii="Times New Roman" w:hAnsi="Times New Roman" w:cs="Times New Roman"/>
          <w:b/>
          <w:smallCaps/>
          <w:sz w:val="20"/>
          <w:szCs w:val="20"/>
          <w:lang w:bidi="el-GR"/>
        </w:rPr>
        <w:t xml:space="preserve"> </w:t>
      </w:r>
      <w:r w:rsidRPr="0014378A">
        <w:rPr>
          <w:rFonts w:ascii="Times New Roman" w:hAnsi="Times New Roman" w:cs="Times New Roman"/>
          <w:b/>
          <w:smallCaps/>
          <w:sz w:val="20"/>
          <w:szCs w:val="20"/>
          <w:lang w:val="en-US" w:bidi="el-GR"/>
        </w:rPr>
        <w:t>Cameron</w:t>
      </w:r>
    </w:p>
    <w:p w:rsidR="006B509B" w:rsidRDefault="006B509B" w:rsidP="00F67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l-GR"/>
        </w:rPr>
      </w:pPr>
      <w:bookmarkStart w:id="1" w:name="_GoBack"/>
      <w:bookmarkEnd w:id="0"/>
      <w:bookmarkEnd w:id="1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72"/>
        <w:gridCol w:w="2210"/>
      </w:tblGrid>
      <w:tr w:rsidR="0014378A" w:rsidTr="0014378A">
        <w:tc>
          <w:tcPr>
            <w:tcW w:w="8472" w:type="dxa"/>
          </w:tcPr>
          <w:p w:rsidR="0014378A" w:rsidRPr="0014378A" w:rsidRDefault="0014378A" w:rsidP="001437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  <w:r w:rsidRPr="0014378A"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>ΚΕΙΜΕΝΟ</w:t>
            </w:r>
          </w:p>
          <w:p w:rsidR="0014378A" w:rsidRPr="004A5129" w:rsidRDefault="0014378A" w:rsidP="0014378A">
            <w:pPr>
              <w:jc w:val="both"/>
              <w:rPr>
                <w:rFonts w:ascii="Times New Roman" w:hAnsi="Times New Roman" w:cs="Times New Roman"/>
                <w:lang w:bidi="el-GR"/>
              </w:rPr>
            </w:pPr>
            <w:r w:rsidRPr="0014378A">
              <w:rPr>
                <w:rFonts w:ascii="Times New Roman" w:hAnsi="Times New Roman" w:cs="Times New Roman"/>
                <w:lang w:bidi="el-GR"/>
              </w:rPr>
              <w:t xml:space="preserve">[1] Όταν έγραφε η Σιμόν ντε Μποβουάρ τη δεκαετία του 1940 το </w:t>
            </w:r>
            <w:r w:rsidRPr="0014378A">
              <w:rPr>
                <w:rFonts w:ascii="Times New Roman" w:hAnsi="Times New Roman" w:cs="Times New Roman"/>
                <w:i/>
                <w:iCs/>
                <w:lang w:bidi="el-GR"/>
              </w:rPr>
              <w:t>Δεύτερο φύλο</w:t>
            </w:r>
            <w:r w:rsidRPr="0014378A">
              <w:rPr>
                <w:rFonts w:ascii="Times New Roman" w:hAnsi="Times New Roman" w:cs="Times New Roman"/>
                <w:lang w:bidi="el-GR"/>
              </w:rPr>
              <w:t>, τόσο η λα</w:t>
            </w:r>
            <w:r w:rsidRPr="0014378A">
              <w:rPr>
                <w:rFonts w:ascii="Times New Roman" w:hAnsi="Times New Roman" w:cs="Times New Roman"/>
                <w:lang w:bidi="el-GR"/>
              </w:rPr>
              <w:t>ϊ</w:t>
            </w:r>
            <w:r w:rsidRPr="0014378A">
              <w:rPr>
                <w:rFonts w:ascii="Times New Roman" w:hAnsi="Times New Roman" w:cs="Times New Roman"/>
                <w:lang w:bidi="el-GR"/>
              </w:rPr>
              <w:t>κή σοφία όσο και μεγάλο μέρος της επιστημο</w:t>
            </w:r>
            <w:r w:rsidRPr="0014378A">
              <w:rPr>
                <w:rFonts w:ascii="Times New Roman" w:hAnsi="Times New Roman" w:cs="Times New Roman"/>
                <w:lang w:bidi="el-GR"/>
              </w:rPr>
              <w:softHyphen/>
              <w:t>νικής γνώσης θεμελιώνονταν πάνω σε αντιλ</w:t>
            </w:r>
            <w:r w:rsidRPr="0014378A">
              <w:rPr>
                <w:rFonts w:ascii="Times New Roman" w:hAnsi="Times New Roman" w:cs="Times New Roman"/>
                <w:lang w:bidi="el-GR"/>
              </w:rPr>
              <w:t>ή</w:t>
            </w:r>
            <w:r w:rsidRPr="0014378A">
              <w:rPr>
                <w:rFonts w:ascii="Times New Roman" w:hAnsi="Times New Roman" w:cs="Times New Roman"/>
                <w:lang w:bidi="el-GR"/>
              </w:rPr>
              <w:t>ψεις που σή</w:t>
            </w:r>
            <w:r w:rsidRPr="0014378A">
              <w:rPr>
                <w:rFonts w:ascii="Times New Roman" w:hAnsi="Times New Roman" w:cs="Times New Roman"/>
                <w:lang w:bidi="el-GR"/>
              </w:rPr>
              <w:softHyphen/>
              <w:t>μερα θα τις αποκαλούσαμε «ουσι</w:t>
            </w:r>
            <w:r w:rsidRPr="0014378A">
              <w:rPr>
                <w:rFonts w:ascii="Times New Roman" w:hAnsi="Times New Roman" w:cs="Times New Roman"/>
                <w:lang w:bidi="el-GR"/>
              </w:rPr>
              <w:t>ο</w:t>
            </w:r>
            <w:r w:rsidRPr="0014378A">
              <w:rPr>
                <w:rFonts w:ascii="Times New Roman" w:hAnsi="Times New Roman" w:cs="Times New Roman"/>
                <w:lang w:bidi="el-GR"/>
              </w:rPr>
              <w:t>κρατικές»: σύμφωνα με τις αντιλήψεις αυτές, η οικουμενική και αμετάβλητη φύση της «Γυνα</w:t>
            </w:r>
            <w:r w:rsidRPr="0014378A">
              <w:rPr>
                <w:rFonts w:ascii="Times New Roman" w:hAnsi="Times New Roman" w:cs="Times New Roman"/>
                <w:lang w:bidi="el-GR"/>
              </w:rPr>
              <w:t>ί</w:t>
            </w:r>
            <w:r w:rsidRPr="0014378A">
              <w:rPr>
                <w:rFonts w:ascii="Times New Roman" w:hAnsi="Times New Roman" w:cs="Times New Roman"/>
                <w:lang w:bidi="el-GR"/>
              </w:rPr>
              <w:t>κας» καθορίζεται από τις βιολογικές και τις αναπαραγωγικές της λειτουργίες. Κατά συνέπεια, η θηλυκότητα δεν είναι τίποτα περισσότ</w:t>
            </w:r>
            <w:r w:rsidRPr="0014378A">
              <w:rPr>
                <w:rFonts w:ascii="Times New Roman" w:hAnsi="Times New Roman" w:cs="Times New Roman"/>
                <w:lang w:bidi="el-GR"/>
              </w:rPr>
              <w:t>ε</w:t>
            </w:r>
            <w:r w:rsidRPr="0014378A">
              <w:rPr>
                <w:rFonts w:ascii="Times New Roman" w:hAnsi="Times New Roman" w:cs="Times New Roman"/>
                <w:lang w:bidi="el-GR"/>
              </w:rPr>
              <w:t>ρο από μια φυ</w:t>
            </w:r>
            <w:r w:rsidRPr="0014378A">
              <w:rPr>
                <w:rFonts w:ascii="Times New Roman" w:hAnsi="Times New Roman" w:cs="Times New Roman"/>
                <w:lang w:bidi="el-GR"/>
              </w:rPr>
              <w:softHyphen/>
              <w:t>σική εκδήλωση της γυναικείας βιολογίας. Η Μποβουάρ υποστήρ</w:t>
            </w:r>
            <w:r w:rsidRPr="0014378A">
              <w:rPr>
                <w:rFonts w:ascii="Times New Roman" w:hAnsi="Times New Roman" w:cs="Times New Roman"/>
                <w:lang w:bidi="el-GR"/>
              </w:rPr>
              <w:t>ι</w:t>
            </w:r>
            <w:r w:rsidRPr="0014378A">
              <w:rPr>
                <w:rFonts w:ascii="Times New Roman" w:hAnsi="Times New Roman" w:cs="Times New Roman"/>
                <w:lang w:bidi="el-GR"/>
              </w:rPr>
              <w:t>ξε ότι αυτή η αντίληψη είναι τουλάχιστον υπεραπλουστευτική. Η λέξη «γυναίκα» δεν δηλώνει απλώς μια βιολογική κατηγορία αλλά -το σημαντικότερο- μια κοινωνική κατηγορία· και για να αν</w:t>
            </w:r>
            <w:r w:rsidRPr="0014378A">
              <w:rPr>
                <w:rFonts w:ascii="Times New Roman" w:hAnsi="Times New Roman" w:cs="Times New Roman"/>
                <w:lang w:bidi="el-GR"/>
              </w:rPr>
              <w:t>α</w:t>
            </w:r>
            <w:r w:rsidRPr="0014378A">
              <w:rPr>
                <w:rFonts w:ascii="Times New Roman" w:hAnsi="Times New Roman" w:cs="Times New Roman"/>
                <w:lang w:bidi="el-GR"/>
              </w:rPr>
              <w:t>γνωριστεί κάποια ως μέλος της κοινωνικής κατηγορίας «των γυναικών», δεν αρκεί να είναι θηλυκού γένους. Προαπαιτείται επι</w:t>
            </w:r>
            <w:r w:rsidRPr="0014378A">
              <w:rPr>
                <w:rFonts w:ascii="Times New Roman" w:hAnsi="Times New Roman" w:cs="Times New Roman"/>
                <w:lang w:bidi="el-GR"/>
              </w:rPr>
              <w:softHyphen/>
              <w:t>πρόσθετα να έχει υιοθετήσει τους τρόπους σ</w:t>
            </w:r>
            <w:r w:rsidRPr="0014378A">
              <w:rPr>
                <w:rFonts w:ascii="Times New Roman" w:hAnsi="Times New Roman" w:cs="Times New Roman"/>
                <w:lang w:bidi="el-GR"/>
              </w:rPr>
              <w:t>υ</w:t>
            </w:r>
            <w:r w:rsidRPr="0014378A">
              <w:rPr>
                <w:rFonts w:ascii="Times New Roman" w:hAnsi="Times New Roman" w:cs="Times New Roman"/>
                <w:lang w:bidi="el-GR"/>
              </w:rPr>
              <w:t>μπεριφοράς και αυτοπαρουσίασης που θεωρούνται ενδ</w:t>
            </w:r>
            <w:r w:rsidRPr="0014378A">
              <w:rPr>
                <w:rFonts w:ascii="Times New Roman" w:hAnsi="Times New Roman" w:cs="Times New Roman"/>
                <w:lang w:bidi="el-GR"/>
              </w:rPr>
              <w:t>ε</w:t>
            </w:r>
            <w:r w:rsidRPr="0014378A">
              <w:rPr>
                <w:rFonts w:ascii="Times New Roman" w:hAnsi="Times New Roman" w:cs="Times New Roman"/>
                <w:lang w:bidi="el-GR"/>
              </w:rPr>
              <w:t xml:space="preserve">δειγμένοι για τις γυναίκες σε συγκεκριμένο τόπο και χρόνο. Εξού και η θέση της Μποβουάρ, σε άλλο σημείο του </w:t>
            </w:r>
            <w:r w:rsidRPr="0014378A">
              <w:rPr>
                <w:rFonts w:ascii="Times New Roman" w:hAnsi="Times New Roman" w:cs="Times New Roman"/>
                <w:i/>
                <w:iCs/>
                <w:lang w:bidi="el-GR"/>
              </w:rPr>
              <w:t>Δεύτερου φύλου</w:t>
            </w:r>
            <w:r w:rsidRPr="0014378A">
              <w:rPr>
                <w:rFonts w:ascii="Times New Roman" w:hAnsi="Times New Roman" w:cs="Times New Roman"/>
                <w:lang w:bidi="el-GR"/>
              </w:rPr>
              <w:t>, ότι «γυνα</w:t>
            </w:r>
            <w:r w:rsidRPr="0014378A">
              <w:rPr>
                <w:rFonts w:ascii="Times New Roman" w:hAnsi="Times New Roman" w:cs="Times New Roman"/>
                <w:lang w:bidi="el-GR"/>
              </w:rPr>
              <w:t>ί</w:t>
            </w:r>
            <w:r w:rsidRPr="0014378A">
              <w:rPr>
                <w:rFonts w:ascii="Times New Roman" w:hAnsi="Times New Roman" w:cs="Times New Roman"/>
                <w:lang w:bidi="el-GR"/>
              </w:rPr>
              <w:t>κα δεν γεννιέσαι, γίνεσαι». Αυτή η διαπίστωση υιοθετήθηκε από τις αγγλόφωνες φεμινίστρ</w:t>
            </w:r>
            <w:r w:rsidRPr="0014378A">
              <w:rPr>
                <w:rFonts w:ascii="Times New Roman" w:hAnsi="Times New Roman" w:cs="Times New Roman"/>
                <w:lang w:bidi="el-GR"/>
              </w:rPr>
              <w:t>ι</w:t>
            </w:r>
            <w:r w:rsidRPr="0014378A">
              <w:rPr>
                <w:rFonts w:ascii="Times New Roman" w:hAnsi="Times New Roman" w:cs="Times New Roman"/>
                <w:lang w:bidi="el-GR"/>
              </w:rPr>
              <w:t>ες του δεύτε</w:t>
            </w:r>
            <w:r w:rsidRPr="0014378A">
              <w:rPr>
                <w:rFonts w:ascii="Times New Roman" w:hAnsi="Times New Roman" w:cs="Times New Roman"/>
                <w:lang w:bidi="el-GR"/>
              </w:rPr>
              <w:softHyphen/>
              <w:t>ρου κύματος μετά το 1968, οι οποίες πρότειναν μια θεωρη</w:t>
            </w:r>
            <w:r w:rsidRPr="0014378A">
              <w:rPr>
                <w:rFonts w:ascii="Times New Roman" w:hAnsi="Times New Roman" w:cs="Times New Roman"/>
                <w:lang w:bidi="el-GR"/>
              </w:rPr>
              <w:softHyphen/>
              <w:t>τική διάκριση ανάμ</w:t>
            </w:r>
            <w:r w:rsidRPr="0014378A">
              <w:rPr>
                <w:rFonts w:ascii="Times New Roman" w:hAnsi="Times New Roman" w:cs="Times New Roman"/>
                <w:lang w:bidi="el-GR"/>
              </w:rPr>
              <w:t>ε</w:t>
            </w:r>
            <w:r w:rsidRPr="0014378A">
              <w:rPr>
                <w:rFonts w:ascii="Times New Roman" w:hAnsi="Times New Roman" w:cs="Times New Roman"/>
                <w:lang w:bidi="el-GR"/>
              </w:rPr>
              <w:t xml:space="preserve">σα στο βιολογικό φύλο </w:t>
            </w:r>
            <w:r w:rsidRPr="0014378A">
              <w:rPr>
                <w:rFonts w:ascii="Times New Roman" w:hAnsi="Times New Roman" w:cs="Times New Roman"/>
                <w:lang w:bidi="en-US"/>
              </w:rPr>
              <w:t xml:space="preserve">(sex) </w:t>
            </w:r>
            <w:r w:rsidRPr="0014378A">
              <w:rPr>
                <w:rFonts w:ascii="Times New Roman" w:hAnsi="Times New Roman" w:cs="Times New Roman"/>
                <w:lang w:bidi="el-GR"/>
              </w:rPr>
              <w:t xml:space="preserve">και στο κοινωνικό φύλο </w:t>
            </w:r>
            <w:r w:rsidRPr="0014378A">
              <w:rPr>
                <w:rFonts w:ascii="Times New Roman" w:hAnsi="Times New Roman" w:cs="Times New Roman"/>
                <w:lang w:bidi="en-US"/>
              </w:rPr>
              <w:t xml:space="preserve">(gender), </w:t>
            </w:r>
            <w:r w:rsidRPr="0014378A">
              <w:rPr>
                <w:rFonts w:ascii="Times New Roman" w:hAnsi="Times New Roman" w:cs="Times New Roman"/>
                <w:lang w:bidi="el-GR"/>
              </w:rPr>
              <w:t>δηλαδή ανάμεσα στην αρσ</w:t>
            </w:r>
            <w:r w:rsidRPr="0014378A">
              <w:rPr>
                <w:rFonts w:ascii="Times New Roman" w:hAnsi="Times New Roman" w:cs="Times New Roman"/>
                <w:lang w:bidi="el-GR"/>
              </w:rPr>
              <w:t>ε</w:t>
            </w:r>
            <w:r w:rsidRPr="0014378A">
              <w:rPr>
                <w:rFonts w:ascii="Times New Roman" w:hAnsi="Times New Roman" w:cs="Times New Roman"/>
                <w:lang w:bidi="el-GR"/>
              </w:rPr>
              <w:t>νική / θηλυκή φυσιολογία και στο πολιτισμικά προσδιορισμένο (ή «κοινωνικά κατασκευ</w:t>
            </w:r>
            <w:r w:rsidRPr="0014378A">
              <w:rPr>
                <w:rFonts w:ascii="Times New Roman" w:hAnsi="Times New Roman" w:cs="Times New Roman"/>
                <w:lang w:bidi="el-GR"/>
              </w:rPr>
              <w:t>α</w:t>
            </w:r>
            <w:r w:rsidRPr="0014378A">
              <w:rPr>
                <w:rFonts w:ascii="Times New Roman" w:hAnsi="Times New Roman" w:cs="Times New Roman"/>
                <w:lang w:bidi="el-GR"/>
              </w:rPr>
              <w:t>σμένο», όπως έχει επικρατήσει να λέγεται) δίπολο αρρ</w:t>
            </w:r>
            <w:r w:rsidRPr="0014378A">
              <w:rPr>
                <w:rFonts w:ascii="Times New Roman" w:hAnsi="Times New Roman" w:cs="Times New Roman"/>
                <w:lang w:bidi="el-GR"/>
              </w:rPr>
              <w:t>ε</w:t>
            </w:r>
            <w:r w:rsidRPr="0014378A">
              <w:rPr>
                <w:rFonts w:ascii="Times New Roman" w:hAnsi="Times New Roman" w:cs="Times New Roman"/>
                <w:lang w:bidi="el-GR"/>
              </w:rPr>
              <w:t>νωπότητα / θηλυκότητα.</w:t>
            </w:r>
          </w:p>
          <w:p w:rsidR="0014378A" w:rsidRPr="0014378A" w:rsidRDefault="0014378A" w:rsidP="0014378A">
            <w:pPr>
              <w:jc w:val="both"/>
              <w:rPr>
                <w:rFonts w:ascii="Times New Roman" w:hAnsi="Times New Roman" w:cs="Times New Roman"/>
                <w:bCs/>
                <w:lang w:bidi="el-GR"/>
              </w:rPr>
            </w:pPr>
            <w:r w:rsidRPr="0014378A">
              <w:rPr>
                <w:rFonts w:ascii="Times New Roman" w:hAnsi="Times New Roman" w:cs="Times New Roman"/>
                <w:bCs/>
                <w:lang w:bidi="el-GR"/>
              </w:rPr>
              <w:t>[2]</w:t>
            </w:r>
            <w:r w:rsidR="004A5129">
              <w:rPr>
                <w:rFonts w:ascii="Times New Roman" w:hAnsi="Times New Roman" w:cs="Times New Roman"/>
                <w:bCs/>
                <w:lang w:bidi="el-GR"/>
              </w:rPr>
              <w:t xml:space="preserve"> 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Τα περισσότερα πράγματα που μαθαίνει κανείς μεγα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softHyphen/>
              <w:t>λώνοντας με την προοπτική να γ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ί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νει γυναίκα δεν έχουν καμία απολύτως εμφανή σχέση με το θηλυκό βιολογικό φύλο. Για παρ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ά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δειγμα, καμιά βιολογική διαφορά φύλου δεν μπορεί να εξηγήσει γιατί τα κουμπιά στα σχολ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ι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κά μου πουκάμισα κούμπωναν στην αντίθ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ε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 xml:space="preserve">τη πλευρά από του αδελφού μου ή γιατί οι γονείς μας κατσάδιαζαν εμένα όταν σφύριζα ή καθόμουν με ανοιχτά τα πόδια αλλά όχι και τον 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α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δελφό μου. Αυτές οι συμπεριφορές δεν ήταν «μη θηλυκές» από φυσιολο</w:t>
            </w:r>
            <w:r w:rsidR="00510B59">
              <w:rPr>
                <w:rFonts w:ascii="Times New Roman" w:hAnsi="Times New Roman" w:cs="Times New Roman"/>
                <w:bCs/>
                <w:lang w:bidi="el-GR"/>
              </w:rPr>
              <w:t>γική άποψη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· ήταν, μά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λ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λον, «μη θηλυπρεπείς» ή, όπως μου έλε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softHyphen/>
              <w:t>γαν συχνά οι γονείς μου, «ανάρμοστες για μια κοπέλα»: δηλ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α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δή, δεν ταίριαζαν με ένα συγκεκριμένο (μεσοαστικό) κανονιστικό πρότυπο θηλυκότητας. Η θηλυκότ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η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τα, επομένως, δεν είναι απλώς μια πολιτισμική κατα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softHyphen/>
              <w:t>σκευή, αλλά μια πολιτισμική επιταγή -ένα σύνολο προσδοκιών, οδ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η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γιών και απαγορεύσεων που επιβάλ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softHyphen/>
              <w:t>λονται διαμέσου ενός συστήματος επιβραβεύσεων και τιμωρίας.</w:t>
            </w:r>
          </w:p>
          <w:p w:rsidR="004A5129" w:rsidRDefault="0014378A" w:rsidP="0014378A">
            <w:pPr>
              <w:jc w:val="both"/>
              <w:rPr>
                <w:rFonts w:ascii="Times New Roman" w:hAnsi="Times New Roman" w:cs="Times New Roman"/>
                <w:bCs/>
                <w:lang w:bidi="el-GR"/>
              </w:rPr>
            </w:pPr>
            <w:r w:rsidRPr="0014378A">
              <w:rPr>
                <w:rFonts w:ascii="Times New Roman" w:hAnsi="Times New Roman" w:cs="Times New Roman"/>
                <w:bCs/>
                <w:lang w:bidi="el-GR"/>
              </w:rPr>
              <w:t>[3]   Τι ισχύει όμως για την αρρενωπότητα; Δεν είναι κι αυτή μια πολιτισμική κατασκευή, με κανόνες τους οποίους οι άνθρωποι που γεννιούνται αρσενικοί καλού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softHyphen/>
              <w:t>νται να μάθουν (για π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α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ράδειγμα, να μάθουν ότι «οι άνδρες δεν πρέπει να δείχνουν τα συναισθήματά τους»); Άραγε οι άνδρες δεν ανταμείβο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softHyphen/>
              <w:t>νται και δεν τιμωρούνται όταν συ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μ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μορφώνονται ή αποκλί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softHyphen/>
              <w:t>νουν από το ανδρικό πρότυπο; Με λίγα λόγια, το διπολικό σύστημα ταξινόμησης των φύλων δεν είναι περιορ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ι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 xml:space="preserve">στικό και καταπιεστικό για όλους; Η σύντομη απάντηση σε όλες αυτές τις ερωτήσεις είναι «ναι»: εάν η θηλυκότητα είναι μια κοινωνική κατασκευή, τότε το ίδιο πρέπει να ισχύει και για την αρρενωπότητα. </w:t>
            </w:r>
          </w:p>
          <w:p w:rsidR="0014378A" w:rsidRPr="0014378A" w:rsidRDefault="004A5129" w:rsidP="0014378A">
            <w:pPr>
              <w:jc w:val="both"/>
              <w:rPr>
                <w:rFonts w:ascii="Times New Roman" w:hAnsi="Times New Roman" w:cs="Times New Roman"/>
                <w:bCs/>
                <w:lang w:bidi="el-GR"/>
              </w:rPr>
            </w:pPr>
            <w:r>
              <w:rPr>
                <w:rFonts w:ascii="Times New Roman" w:hAnsi="Times New Roman" w:cs="Times New Roman"/>
                <w:bCs/>
                <w:lang w:bidi="el-GR"/>
              </w:rPr>
              <w:t xml:space="preserve">[4] </w:t>
            </w:r>
            <w:r w:rsidR="0014378A" w:rsidRPr="0014378A">
              <w:rPr>
                <w:rFonts w:ascii="Times New Roman" w:hAnsi="Times New Roman" w:cs="Times New Roman"/>
                <w:bCs/>
                <w:lang w:bidi="el-GR"/>
              </w:rPr>
              <w:t xml:space="preserve">Αυτοί οι όροι </w:t>
            </w:r>
            <w:r>
              <w:rPr>
                <w:rFonts w:ascii="Times New Roman" w:hAnsi="Times New Roman" w:cs="Times New Roman"/>
                <w:bCs/>
                <w:lang w:bidi="el-GR"/>
              </w:rPr>
              <w:t>[αρρενωπότητα / θηλυκότητα</w:t>
            </w:r>
            <w:r w:rsidR="00EA1003">
              <w:rPr>
                <w:rFonts w:ascii="Times New Roman" w:hAnsi="Times New Roman" w:cs="Times New Roman"/>
                <w:bCs/>
                <w:lang w:bidi="el-GR"/>
              </w:rPr>
              <w:t xml:space="preserve">] </w:t>
            </w:r>
            <w:r w:rsidR="0014378A" w:rsidRPr="0014378A">
              <w:rPr>
                <w:rFonts w:ascii="Times New Roman" w:hAnsi="Times New Roman" w:cs="Times New Roman"/>
                <w:bCs/>
                <w:lang w:bidi="el-GR"/>
              </w:rPr>
              <w:t>είναι αλληλένδετοι και ορίζονται κατ’ αντ</w:t>
            </w:r>
            <w:r w:rsidR="0014378A" w:rsidRPr="0014378A">
              <w:rPr>
                <w:rFonts w:ascii="Times New Roman" w:hAnsi="Times New Roman" w:cs="Times New Roman"/>
                <w:bCs/>
                <w:lang w:bidi="el-GR"/>
              </w:rPr>
              <w:t>ι</w:t>
            </w:r>
            <w:r w:rsidR="0014378A" w:rsidRPr="0014378A">
              <w:rPr>
                <w:rFonts w:ascii="Times New Roman" w:hAnsi="Times New Roman" w:cs="Times New Roman"/>
                <w:bCs/>
                <w:lang w:bidi="el-GR"/>
              </w:rPr>
              <w:t xml:space="preserve">διαστολή. </w:t>
            </w:r>
            <w:r w:rsidR="00EA1003">
              <w:rPr>
                <w:rFonts w:ascii="Times New Roman" w:hAnsi="Times New Roman" w:cs="Times New Roman"/>
                <w:bCs/>
                <w:lang w:bidi="el-GR"/>
              </w:rPr>
              <w:t>Όπως, όμως,</w:t>
            </w:r>
            <w:r w:rsidR="0014378A" w:rsidRPr="0014378A">
              <w:rPr>
                <w:rFonts w:ascii="Times New Roman" w:hAnsi="Times New Roman" w:cs="Times New Roman"/>
                <w:bCs/>
                <w:lang w:bidi="el-GR"/>
              </w:rPr>
              <w:t xml:space="preserve"> επισήμανε η Μποβουάρ στο </w:t>
            </w:r>
            <w:r w:rsidR="0014378A" w:rsidRPr="0014378A">
              <w:rPr>
                <w:rFonts w:ascii="Times New Roman" w:hAnsi="Times New Roman" w:cs="Times New Roman"/>
                <w:bCs/>
                <w:i/>
                <w:iCs/>
                <w:lang w:bidi="el-GR"/>
              </w:rPr>
              <w:t>Δεύτερο φύλο</w:t>
            </w:r>
            <w:r w:rsidR="0014378A" w:rsidRPr="0014378A">
              <w:rPr>
                <w:rFonts w:ascii="Times New Roman" w:hAnsi="Times New Roman" w:cs="Times New Roman"/>
                <w:bCs/>
                <w:lang w:bidi="el-GR"/>
              </w:rPr>
              <w:t>, η σχέση τους μπορεί να φαίνεται απόλυτα συμμετρική, αλλά εάν παρατηρήσουμε πιο προσεκτικά, βλέπουμε ότι δεν ε</w:t>
            </w:r>
            <w:r w:rsidR="0014378A" w:rsidRPr="0014378A">
              <w:rPr>
                <w:rFonts w:ascii="Times New Roman" w:hAnsi="Times New Roman" w:cs="Times New Roman"/>
                <w:bCs/>
                <w:lang w:bidi="el-GR"/>
              </w:rPr>
              <w:t>ί</w:t>
            </w:r>
            <w:r w:rsidR="0014378A" w:rsidRPr="0014378A">
              <w:rPr>
                <w:rFonts w:ascii="Times New Roman" w:hAnsi="Times New Roman" w:cs="Times New Roman"/>
                <w:bCs/>
                <w:lang w:bidi="el-GR"/>
              </w:rPr>
              <w:t>ναι: «</w:t>
            </w:r>
            <w:r w:rsidR="0014378A" w:rsidRPr="004312CB">
              <w:rPr>
                <w:rFonts w:ascii="Times New Roman" w:hAnsi="Times New Roman" w:cs="Times New Roman"/>
                <w:bCs/>
                <w:lang w:bidi="el-GR"/>
              </w:rPr>
              <w:t xml:space="preserve">Ο άνδρας αντιπροσωπεύει τόσο το θετικό όσο και το ουδέτερο, τόσο που στα γαλλικά η λέξη </w:t>
            </w:r>
            <w:r w:rsidR="0014378A" w:rsidRPr="004312CB">
              <w:rPr>
                <w:rFonts w:ascii="Times New Roman" w:hAnsi="Times New Roman" w:cs="Times New Roman"/>
                <w:bCs/>
                <w:lang w:bidi="en-US"/>
              </w:rPr>
              <w:t xml:space="preserve">homme </w:t>
            </w:r>
            <w:r w:rsidR="0014378A" w:rsidRPr="004312CB">
              <w:rPr>
                <w:rFonts w:ascii="Times New Roman" w:hAnsi="Times New Roman" w:cs="Times New Roman"/>
                <w:bCs/>
                <w:lang w:bidi="el-GR"/>
              </w:rPr>
              <w:t>(«άνδρας») χρησιμοποιείται ε</w:t>
            </w:r>
            <w:r w:rsidR="0014378A" w:rsidRPr="004312CB">
              <w:rPr>
                <w:rFonts w:ascii="Times New Roman" w:hAnsi="Times New Roman" w:cs="Times New Roman"/>
                <w:bCs/>
                <w:lang w:bidi="el-GR"/>
              </w:rPr>
              <w:t>υ</w:t>
            </w:r>
            <w:r w:rsidR="0014378A" w:rsidRPr="004312CB">
              <w:rPr>
                <w:rFonts w:ascii="Times New Roman" w:hAnsi="Times New Roman" w:cs="Times New Roman"/>
                <w:bCs/>
                <w:lang w:bidi="el-GR"/>
              </w:rPr>
              <w:t>ρέως για να περιγράψει γενι</w:t>
            </w:r>
            <w:r w:rsidR="00EA1003" w:rsidRPr="004312CB">
              <w:rPr>
                <w:rFonts w:ascii="Times New Roman" w:hAnsi="Times New Roman" w:cs="Times New Roman"/>
                <w:bCs/>
                <w:lang w:bidi="el-GR"/>
              </w:rPr>
              <w:t>κά τα ανθρώπινα όντα</w:t>
            </w:r>
            <w:r w:rsidR="0014378A" w:rsidRPr="004312CB">
              <w:rPr>
                <w:rFonts w:ascii="Times New Roman" w:hAnsi="Times New Roman" w:cs="Times New Roman"/>
                <w:bCs/>
                <w:lang w:bidi="el-GR"/>
              </w:rPr>
              <w:t>. Η γυναίκα, από την άλλη, αντιπροσωπεύει μονάχα το αρνητικό, αυτό που προσδιορίζ</w:t>
            </w:r>
            <w:r w:rsidR="0014378A" w:rsidRPr="004312CB">
              <w:rPr>
                <w:rFonts w:ascii="Times New Roman" w:hAnsi="Times New Roman" w:cs="Times New Roman"/>
                <w:bCs/>
                <w:lang w:bidi="el-GR"/>
              </w:rPr>
              <w:t>ε</w:t>
            </w:r>
            <w:r w:rsidR="0014378A" w:rsidRPr="004312CB">
              <w:rPr>
                <w:rFonts w:ascii="Times New Roman" w:hAnsi="Times New Roman" w:cs="Times New Roman"/>
                <w:bCs/>
                <w:lang w:bidi="el-GR"/>
              </w:rPr>
              <w:t>ται μέσω κριτηρίων αποκλεισμού, χωρίς ίχνος αμοιβαιότ</w:t>
            </w:r>
            <w:r w:rsidR="0014378A" w:rsidRPr="004312CB">
              <w:rPr>
                <w:rFonts w:ascii="Times New Roman" w:hAnsi="Times New Roman" w:cs="Times New Roman"/>
                <w:bCs/>
                <w:lang w:bidi="el-GR"/>
              </w:rPr>
              <w:t>η</w:t>
            </w:r>
            <w:r w:rsidR="0014378A" w:rsidRPr="004312CB">
              <w:rPr>
                <w:rFonts w:ascii="Times New Roman" w:hAnsi="Times New Roman" w:cs="Times New Roman"/>
                <w:bCs/>
                <w:lang w:bidi="el-GR"/>
              </w:rPr>
              <w:t>τας</w:t>
            </w:r>
            <w:r w:rsidR="0014378A" w:rsidRPr="0014378A">
              <w:rPr>
                <w:rFonts w:ascii="Times New Roman" w:hAnsi="Times New Roman" w:cs="Times New Roman"/>
                <w:bCs/>
                <w:lang w:bidi="el-GR"/>
              </w:rPr>
              <w:t>».</w:t>
            </w:r>
          </w:p>
          <w:p w:rsidR="0014378A" w:rsidRDefault="0014378A" w:rsidP="0014378A">
            <w:pPr>
              <w:jc w:val="both"/>
              <w:rPr>
                <w:rFonts w:ascii="Times New Roman" w:hAnsi="Times New Roman" w:cs="Times New Roman"/>
                <w:bCs/>
                <w:lang w:bidi="el-GR"/>
              </w:rPr>
            </w:pPr>
            <w:r w:rsidRPr="0014378A">
              <w:rPr>
                <w:rFonts w:ascii="Times New Roman" w:hAnsi="Times New Roman" w:cs="Times New Roman"/>
                <w:bCs/>
                <w:lang w:bidi="el-GR"/>
              </w:rPr>
              <w:t>[4]   Από αυτή την οπτική γωνία το κοινωνικό φύλο δεν είναι απλώς ένα σύστημα κοινων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ι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 xml:space="preserve">κής κατηγοριοποίησης που βασίζεται στην αντιπαραβολή δύο ισότιμων αλλά αντίθετων 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ό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ρων: συνιστά συγχρόνως και μια ιεραρχία</w:t>
            </w:r>
            <w:r w:rsidRPr="0014378A">
              <w:rPr>
                <w:rFonts w:ascii="Times New Roman" w:hAnsi="Times New Roman" w:cs="Times New Roman"/>
                <w:bCs/>
                <w:u w:val="single"/>
                <w:lang w:bidi="el-GR"/>
              </w:rPr>
              <w:t>,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 xml:space="preserve"> σύμφωνα με την οποία η αρρενωπότητα υπερέχει της θη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softHyphen/>
              <w:t>λυκότητας. Ενώ κάποιες έμφυλες διαφοροποιήσεις (π.χ. το πού θα τοποθετηθούν τα κουμπιά ενός ενδύματος) φαί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softHyphen/>
              <w:t>νονται αξιολογικά ουδέτερες και ασήμαντες, κάποιες άλ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softHyphen/>
              <w:t>λες συνδέονται πιο άμεσα με το ισχύον κοινωνικό σ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ύ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στη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softHyphen/>
              <w:t>μα, στο οποίο αναμένεται οι άνδρες να ασκούν εξουσία και οι γυναίκες να παίζουν δευτερεύοντα, υποστηρικτικό ρόλο. Η αρρεν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ω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πότητα είναι ενεργητική, αποφασ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ι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στική, ορθολογική, ισχυρή και τολμηρή· η θηλυκότητα είναι παθητική, υποτακτική, συναισθηματική, αδύναμη και χρήζει προστασίας. Τα χαρακτ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η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ριστικά που οι γυναίκες ενθαρρύνονται να αναπτύξουν είναι ακριβώς εκείνα που χρησιμ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ο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ποιούνται για να δικαιολογηθεί η υποδεέστ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ε</w:t>
            </w:r>
            <w:r w:rsidRPr="0014378A">
              <w:rPr>
                <w:rFonts w:ascii="Times New Roman" w:hAnsi="Times New Roman" w:cs="Times New Roman"/>
                <w:bCs/>
                <w:lang w:bidi="el-GR"/>
              </w:rPr>
              <w:t>ρη κοινωνική τους θέση.</w:t>
            </w:r>
          </w:p>
          <w:p w:rsidR="0014378A" w:rsidRPr="0014378A" w:rsidRDefault="0014378A" w:rsidP="0014378A">
            <w:pPr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bidi="el-GR"/>
              </w:rPr>
            </w:pPr>
            <w:r w:rsidRPr="0014378A">
              <w:rPr>
                <w:rFonts w:ascii="Times New Roman" w:hAnsi="Times New Roman" w:cs="Times New Roman"/>
                <w:bCs/>
                <w:sz w:val="18"/>
                <w:szCs w:val="18"/>
                <w:lang w:bidi="el-GR"/>
              </w:rPr>
              <w:t>[</w:t>
            </w:r>
            <w:r w:rsidRPr="0014378A">
              <w:rPr>
                <w:rFonts w:ascii="Times New Roman" w:hAnsi="Times New Roman" w:cs="Times New Roman"/>
                <w:bCs/>
                <w:sz w:val="18"/>
                <w:szCs w:val="18"/>
                <w:lang w:val="en-US" w:bidi="el-GR"/>
              </w:rPr>
              <w:t>D</w:t>
            </w:r>
            <w:r w:rsidRPr="0014378A">
              <w:rPr>
                <w:rFonts w:ascii="Times New Roman" w:hAnsi="Times New Roman" w:cs="Times New Roman"/>
                <w:bCs/>
                <w:sz w:val="18"/>
                <w:szCs w:val="18"/>
                <w:lang w:bidi="el-GR"/>
              </w:rPr>
              <w:t xml:space="preserve">. </w:t>
            </w:r>
            <w:r w:rsidRPr="0014378A">
              <w:rPr>
                <w:rFonts w:ascii="Times New Roman" w:hAnsi="Times New Roman" w:cs="Times New Roman"/>
                <w:bCs/>
                <w:sz w:val="18"/>
                <w:szCs w:val="18"/>
                <w:lang w:val="en-US" w:bidi="el-GR"/>
              </w:rPr>
              <w:t>Cameron</w:t>
            </w:r>
            <w:r w:rsidRPr="0014378A">
              <w:rPr>
                <w:rFonts w:ascii="Times New Roman" w:hAnsi="Times New Roman" w:cs="Times New Roman"/>
                <w:bCs/>
                <w:sz w:val="18"/>
                <w:szCs w:val="18"/>
                <w:lang w:bidi="el-GR"/>
              </w:rPr>
              <w:t xml:space="preserve">, </w:t>
            </w:r>
            <w:r w:rsidRPr="0014378A">
              <w:rPr>
                <w:rFonts w:ascii="Times New Roman" w:hAnsi="Times New Roman" w:cs="Times New Roman"/>
                <w:bCs/>
                <w:i/>
                <w:sz w:val="18"/>
                <w:szCs w:val="18"/>
                <w:lang w:bidi="el-GR"/>
              </w:rPr>
              <w:t>Φεμινισμός. Παρελθόν και παρόν ενός κινήματος</w:t>
            </w:r>
            <w:r w:rsidRPr="0014378A">
              <w:rPr>
                <w:rFonts w:ascii="Times New Roman" w:hAnsi="Times New Roman" w:cs="Times New Roman"/>
                <w:bCs/>
                <w:sz w:val="18"/>
                <w:szCs w:val="18"/>
                <w:lang w:bidi="el-GR"/>
              </w:rPr>
              <w:t xml:space="preserve">. μετάφραση Φιλώτας </w:t>
            </w:r>
            <w:proofErr w:type="spellStart"/>
            <w:r w:rsidRPr="0014378A">
              <w:rPr>
                <w:rFonts w:ascii="Times New Roman" w:hAnsi="Times New Roman" w:cs="Times New Roman"/>
                <w:bCs/>
                <w:sz w:val="18"/>
                <w:szCs w:val="18"/>
                <w:lang w:bidi="el-GR"/>
              </w:rPr>
              <w:t>Δήτσας</w:t>
            </w:r>
            <w:proofErr w:type="spellEnd"/>
            <w:r w:rsidRPr="0014378A">
              <w:rPr>
                <w:rFonts w:ascii="Times New Roman" w:hAnsi="Times New Roman" w:cs="Times New Roman"/>
                <w:bCs/>
                <w:sz w:val="18"/>
                <w:szCs w:val="18"/>
                <w:lang w:bidi="el-GR"/>
              </w:rPr>
              <w:t>, ΠΕΚ, Ηράκλειο 2020, σσ. 101-107]</w:t>
            </w:r>
          </w:p>
        </w:tc>
        <w:tc>
          <w:tcPr>
            <w:tcW w:w="2210" w:type="dxa"/>
          </w:tcPr>
          <w:p w:rsidR="0014378A" w:rsidRDefault="0014378A" w:rsidP="001437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>ΣΧΟΛΙΑ</w:t>
            </w:r>
          </w:p>
          <w:p w:rsidR="0014378A" w:rsidRDefault="0014378A" w:rsidP="0014378A">
            <w:pP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>[1]</w:t>
            </w:r>
          </w:p>
          <w:p w:rsidR="0014378A" w:rsidRDefault="0014378A" w:rsidP="0014378A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 xml:space="preserve">α. 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Ποια ήταν η συμβολή της Μποβουάρ στο φ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ε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μινιστικό κίνημα;</w:t>
            </w:r>
          </w:p>
          <w:p w:rsidR="0014378A" w:rsidRDefault="0014378A" w:rsidP="0014378A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 xml:space="preserve">β. </w:t>
            </w:r>
            <w:r w:rsidRPr="0014378A"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Πώς καταλαβαίνεις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 xml:space="preserve"> </w:t>
            </w:r>
            <w:r w:rsidRPr="0014378A"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τη φρ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άση «</w:t>
            </w:r>
            <w:r w:rsidRPr="0014378A">
              <w:rPr>
                <w:rFonts w:ascii="Times New Roman" w:hAnsi="Times New Roman" w:cs="Times New Roman"/>
                <w:i/>
                <w:sz w:val="20"/>
                <w:szCs w:val="20"/>
                <w:lang w:bidi="el-GR"/>
              </w:rPr>
              <w:t>γυναίκα δεν γεννιέσαι, γίνεσαι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»;</w:t>
            </w:r>
          </w:p>
          <w:p w:rsidR="004A5129" w:rsidRDefault="0014378A" w:rsidP="004A5129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 xml:space="preserve">γ. </w:t>
            </w:r>
            <w:r w:rsidR="004A5129" w:rsidRPr="004A5129"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Πώς</w:t>
            </w:r>
            <w:r w:rsidR="004A5129"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 xml:space="preserve"> </w:t>
            </w:r>
            <w:r w:rsidR="004A5129" w:rsidRPr="004A5129"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επιτυγχάνεται η γλω</w:t>
            </w:r>
            <w:r w:rsidR="004A5129" w:rsidRPr="004A5129"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σ</w:t>
            </w:r>
            <w:r w:rsidR="004A5129" w:rsidRPr="004A5129"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σική συνοχή των νο</w:t>
            </w:r>
            <w:r w:rsidR="004A5129" w:rsidRPr="004A5129"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η</w:t>
            </w:r>
            <w:r w:rsidR="004A5129" w:rsidRPr="004A5129"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 xml:space="preserve">μάτων </w:t>
            </w:r>
            <w:r w:rsidR="004A5129"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στην παρ. 1;</w:t>
            </w:r>
          </w:p>
          <w:p w:rsidR="004A5129" w:rsidRDefault="004A5129" w:rsidP="004A5129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</w:p>
          <w:p w:rsidR="004A5129" w:rsidRDefault="004A5129" w:rsidP="004A5129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</w:p>
          <w:p w:rsidR="004A5129" w:rsidRDefault="004A5129" w:rsidP="004A5129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</w:p>
          <w:p w:rsidR="004A5129" w:rsidRDefault="004A5129" w:rsidP="004A5129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</w:p>
          <w:p w:rsidR="004A5129" w:rsidRDefault="004A5129" w:rsidP="004A5129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</w:p>
          <w:p w:rsidR="004A5129" w:rsidRDefault="004A5129" w:rsidP="004A5129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</w:p>
          <w:p w:rsidR="004A5129" w:rsidRDefault="004A5129" w:rsidP="004A5129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</w:p>
          <w:p w:rsidR="004A5129" w:rsidRDefault="004A5129" w:rsidP="004A5129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</w:p>
          <w:p w:rsidR="004A5129" w:rsidRDefault="004A5129" w:rsidP="004A5129">
            <w:pP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>[2]</w:t>
            </w:r>
          </w:p>
          <w:p w:rsidR="004A5129" w:rsidRDefault="004A5129" w:rsidP="004A5129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 xml:space="preserve">α. 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Πώς θα εξηγούσες τον όρο «κοινωνική κατασκευή»;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 xml:space="preserve"> με βάση το περιεχόμενο της παρ. 2; </w:t>
            </w:r>
          </w:p>
          <w:p w:rsidR="004A5129" w:rsidRDefault="004A5129" w:rsidP="004A5129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 xml:space="preserve">β. </w:t>
            </w:r>
            <w:r w:rsidRPr="004A5129"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Με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 xml:space="preserve"> ποιον τρόπο αν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α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πτύσσεται η παρ. 3; Ποια πρόθεση της συ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γ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γραφέως εξυπηρετεί αυτός ο τρόπος ανάπτ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υ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ξης;</w:t>
            </w:r>
          </w:p>
          <w:p w:rsidR="004A5129" w:rsidRDefault="004A5129" w:rsidP="004A5129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</w:p>
          <w:p w:rsidR="004A5129" w:rsidRDefault="004A5129" w:rsidP="004A5129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</w:p>
          <w:p w:rsidR="004A5129" w:rsidRDefault="004A5129" w:rsidP="004A5129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</w:p>
          <w:p w:rsidR="004A5129" w:rsidRDefault="004A5129" w:rsidP="004A5129">
            <w:pP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>[3]</w:t>
            </w:r>
          </w:p>
          <w:p w:rsidR="004A5129" w:rsidRDefault="004A5129" w:rsidP="004A5129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 xml:space="preserve">α. 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Θα έλεγες ότι και η α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ρ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ρενωπότητα συνιστά μια «πολιτισμική επιτ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α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 xml:space="preserve">γή»; </w:t>
            </w:r>
          </w:p>
          <w:p w:rsidR="00EA1003" w:rsidRPr="00EA1003" w:rsidRDefault="00EA1003" w:rsidP="004A5129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 xml:space="preserve">β. 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Ποιο σημείο στίξεως κυριαρχεί στην παρ. 3; Γιατί;</w:t>
            </w:r>
          </w:p>
          <w:p w:rsidR="004A5129" w:rsidRDefault="004A5129" w:rsidP="004A5129">
            <w:pP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</w:pPr>
          </w:p>
          <w:p w:rsidR="00EA1003" w:rsidRDefault="00EA1003" w:rsidP="004A5129">
            <w:pP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>[4]</w:t>
            </w:r>
          </w:p>
          <w:p w:rsidR="00EA1003" w:rsidRDefault="00EA1003" w:rsidP="004A5129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 xml:space="preserve">α. 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Οι όροι «αρρενωπ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ό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τητα / θηλυκότητα» δεν είναι ουδέτεροι. Γιατί;</w:t>
            </w:r>
          </w:p>
          <w:p w:rsidR="00EA1003" w:rsidRPr="00EA1003" w:rsidRDefault="00EA1003" w:rsidP="004A5129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 xml:space="preserve">β. 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Ποιος ο ρόλος των εισαγωγικών («»);</w:t>
            </w:r>
          </w:p>
          <w:p w:rsidR="00EA1003" w:rsidRDefault="00EA1003" w:rsidP="004A5129">
            <w:pP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</w:pPr>
          </w:p>
          <w:p w:rsidR="00EA1003" w:rsidRDefault="00EA1003" w:rsidP="004A5129">
            <w:pP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>[5]</w:t>
            </w:r>
          </w:p>
          <w:p w:rsidR="00510B59" w:rsidRDefault="00510B59" w:rsidP="004A5129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>α. «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κατηγοριοποίηση» - «ιεραρχία»: αυτές είναι οι βασικές λέξεις -κλειδιά της παρ. 4. Γι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α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τί;</w:t>
            </w:r>
          </w:p>
          <w:p w:rsidR="00510B59" w:rsidRPr="00510B59" w:rsidRDefault="00510B59" w:rsidP="004A5129">
            <w:pPr>
              <w:rPr>
                <w:rFonts w:ascii="Times New Roman" w:hAnsi="Times New Roman" w:cs="Times New Roman"/>
                <w:sz w:val="20"/>
                <w:szCs w:val="20"/>
                <w:lang w:bidi="el-G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l-GR"/>
              </w:rPr>
              <w:t xml:space="preserve">β. 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 xml:space="preserve">Το </w:t>
            </w:r>
            <w:r w:rsidRPr="00510B59">
              <w:rPr>
                <w:rFonts w:ascii="Times New Roman" w:hAnsi="Times New Roman" w:cs="Times New Roman"/>
                <w:i/>
                <w:sz w:val="20"/>
                <w:szCs w:val="20"/>
                <w:lang w:bidi="el-GR"/>
              </w:rPr>
              <w:t>Δεύτερο φύλο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 xml:space="preserve"> της Μποβουάρ είναι γρα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μ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μένο πριν από 80 σχ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ε</w:t>
            </w:r>
            <w:r>
              <w:rPr>
                <w:rFonts w:ascii="Times New Roman" w:hAnsi="Times New Roman" w:cs="Times New Roman"/>
                <w:sz w:val="20"/>
                <w:szCs w:val="20"/>
                <w:lang w:bidi="el-GR"/>
              </w:rPr>
              <w:t>δόν χρόνια. Θεωρείς ότι παραμένει επίκαιρο;</w:t>
            </w:r>
          </w:p>
        </w:tc>
      </w:tr>
    </w:tbl>
    <w:p w:rsidR="00B36221" w:rsidRPr="0014378A" w:rsidRDefault="00B36221" w:rsidP="004312CB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lang w:bidi="el-GR"/>
        </w:rPr>
      </w:pPr>
    </w:p>
    <w:sectPr w:rsidR="00B36221" w:rsidRPr="0014378A" w:rsidSect="00F67A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24"/>
    <w:rsid w:val="000F12E1"/>
    <w:rsid w:val="001220A4"/>
    <w:rsid w:val="0014378A"/>
    <w:rsid w:val="00282502"/>
    <w:rsid w:val="00343DB9"/>
    <w:rsid w:val="004312CB"/>
    <w:rsid w:val="004A5129"/>
    <w:rsid w:val="004B0489"/>
    <w:rsid w:val="00510B59"/>
    <w:rsid w:val="00511CE4"/>
    <w:rsid w:val="00536E1E"/>
    <w:rsid w:val="00637F64"/>
    <w:rsid w:val="00682D57"/>
    <w:rsid w:val="006B509B"/>
    <w:rsid w:val="008566B2"/>
    <w:rsid w:val="00977FF6"/>
    <w:rsid w:val="00B01F3B"/>
    <w:rsid w:val="00B36221"/>
    <w:rsid w:val="00D8007E"/>
    <w:rsid w:val="00D97CB9"/>
    <w:rsid w:val="00DC28F6"/>
    <w:rsid w:val="00E325C1"/>
    <w:rsid w:val="00EA1003"/>
    <w:rsid w:val="00EF5924"/>
    <w:rsid w:val="00F67A85"/>
    <w:rsid w:val="00F8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77FF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977FF6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Web">
    <w:name w:val="Normal (Web)"/>
    <w:basedOn w:val="a"/>
    <w:uiPriority w:val="99"/>
    <w:semiHidden/>
    <w:unhideWhenUsed/>
    <w:rsid w:val="0097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977FF6"/>
    <w:rPr>
      <w:i/>
      <w:iCs/>
    </w:rPr>
  </w:style>
  <w:style w:type="character" w:customStyle="1" w:styleId="f-smaller">
    <w:name w:val="f-smaller"/>
    <w:basedOn w:val="a0"/>
    <w:rsid w:val="00977FF6"/>
  </w:style>
  <w:style w:type="table" w:styleId="a4">
    <w:name w:val="Table Grid"/>
    <w:basedOn w:val="a1"/>
    <w:uiPriority w:val="59"/>
    <w:rsid w:val="00143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77FF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977FF6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Web">
    <w:name w:val="Normal (Web)"/>
    <w:basedOn w:val="a"/>
    <w:uiPriority w:val="99"/>
    <w:semiHidden/>
    <w:unhideWhenUsed/>
    <w:rsid w:val="0097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977FF6"/>
    <w:rPr>
      <w:i/>
      <w:iCs/>
    </w:rPr>
  </w:style>
  <w:style w:type="character" w:customStyle="1" w:styleId="f-smaller">
    <w:name w:val="f-smaller"/>
    <w:basedOn w:val="a0"/>
    <w:rsid w:val="00977FF6"/>
  </w:style>
  <w:style w:type="table" w:styleId="a4">
    <w:name w:val="Table Grid"/>
    <w:basedOn w:val="a1"/>
    <w:uiPriority w:val="59"/>
    <w:rsid w:val="00143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862</Words>
  <Characters>4657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2023-09-15T20:08:00Z</cp:lastPrinted>
  <dcterms:created xsi:type="dcterms:W3CDTF">2023-09-15T18:43:00Z</dcterms:created>
  <dcterms:modified xsi:type="dcterms:W3CDTF">2025-02-16T19:23:00Z</dcterms:modified>
</cp:coreProperties>
</file>