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DA" w:rsidRPr="00A25BB1" w:rsidRDefault="007E21DA" w:rsidP="007E21DA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lang w:val="en-US"/>
        </w:rPr>
      </w:pPr>
      <w:r w:rsidRPr="00A25BB1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</w:rPr>
        <w:t>Μάθημα</w:t>
      </w:r>
      <w:r w:rsidRPr="00A25BB1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lang w:val="en-US"/>
        </w:rPr>
        <w:t xml:space="preserve"> 31</w:t>
      </w:r>
    </w:p>
    <w:p w:rsidR="007E21DA" w:rsidRPr="0065124E" w:rsidRDefault="00D0744C" w:rsidP="00651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Bello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Latīno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124E">
        <w:rPr>
          <w:rFonts w:ascii="Times New Roman" w:hAnsi="Times New Roman" w:cs="Times New Roman"/>
          <w:sz w:val="28"/>
          <w:szCs w:val="28"/>
        </w:rPr>
        <w:t>Τ</w:t>
      </w:r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. Manlius consul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nobili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genere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natus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exercitui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Rōmanōrum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praefuit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. Is cum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aliquando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castris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abīret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edixit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omnes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pugnā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abstinērent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paulo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filius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eius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castra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hostium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praeterequitāvit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et a duce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hostium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verbis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proelio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lacessītus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Congrediāmur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singulāris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proelii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eventu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cernātur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quanto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miles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Latīnus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Rōmāno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virtūte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antecellat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Tum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adulescens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viribus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confīsus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cupiditāte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pugnandi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permōtus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iniussū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consulis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certāmen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ruit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; et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fortior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hoste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hastā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eum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transfixit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armis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spoliāvit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Statim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hostes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fugā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salūtem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petivērunt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consul, cum in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castra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revertisset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adulescentem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cuius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operā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hostes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fugāti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erant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morte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124E">
        <w:rPr>
          <w:rFonts w:ascii="Times New Roman" w:hAnsi="Times New Roman" w:cs="Times New Roman"/>
          <w:sz w:val="28"/>
          <w:szCs w:val="28"/>
          <w:lang w:val="en-US"/>
        </w:rPr>
        <w:t>multāvit</w:t>
      </w:r>
      <w:proofErr w:type="spellEnd"/>
      <w:r w:rsidRPr="006512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744C" w:rsidRPr="00A25BB1" w:rsidRDefault="00A25BB1" w:rsidP="007E21D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343D40" w:rsidRPr="00343D40" w:rsidRDefault="007E21DA" w:rsidP="007E21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D40">
        <w:rPr>
          <w:rFonts w:ascii="Times New Roman" w:hAnsi="Times New Roman" w:cs="Times New Roman"/>
        </w:rPr>
        <w:t xml:space="preserve">Στον Λατινικό πόλεμο, ο Τίτος </w:t>
      </w:r>
      <w:proofErr w:type="spellStart"/>
      <w:r w:rsidRPr="00343D40">
        <w:rPr>
          <w:rFonts w:ascii="Times New Roman" w:hAnsi="Times New Roman" w:cs="Times New Roman"/>
        </w:rPr>
        <w:t>Μάνλιος</w:t>
      </w:r>
      <w:proofErr w:type="spellEnd"/>
      <w:r w:rsidRPr="00343D40">
        <w:rPr>
          <w:rFonts w:ascii="Times New Roman" w:hAnsi="Times New Roman" w:cs="Times New Roman"/>
        </w:rPr>
        <w:t xml:space="preserve">, ύπατος, που καταγόταν από αριστοκρατική γενιά, είχε την αρχηγία του στρατού των Ρωμαίων. Αυτός, όταν κάποτε </w:t>
      </w:r>
      <w:r w:rsidRPr="00343D40">
        <w:rPr>
          <w:rFonts w:ascii="Times New Roman" w:hAnsi="Times New Roman" w:cs="Times New Roman"/>
          <w:b/>
        </w:rPr>
        <w:t>έφευγε</w:t>
      </w:r>
      <w:r w:rsidRPr="00343D40">
        <w:rPr>
          <w:rFonts w:ascii="Times New Roman" w:hAnsi="Times New Roman" w:cs="Times New Roman"/>
        </w:rPr>
        <w:t xml:space="preserve"> από το στρατόπεδο, διέταξε να απέχουν όλοι από τη μάχη. Αλλά λίγο αργότερα ο γιος του πέρασε έφιππος μπροστά από το στρατόπεδο των εχθρών και προκλήθηκε σε μάχη από τον αρχηγό των εχθρών με αυτά τα λόγια: «Ας μονομαχήσουμε, για να κριθεί από την έκβαση της μονομαχίας πόσο ο Λατίνος στρατιώτης ξεπερνά τον Ρωμαίο σε ανδρεία». Τότε ο νεαρός, έχοντας εμπιστοσύνη στις δυνάμεις του και παρακινημένος από την επιθυμία του για μάχη, όρμησε στον αγώνα </w:t>
      </w:r>
      <w:r w:rsidR="00D0744C" w:rsidRPr="00343D40">
        <w:rPr>
          <w:rFonts w:ascii="Times New Roman" w:hAnsi="Times New Roman" w:cs="Times New Roman"/>
        </w:rPr>
        <w:t xml:space="preserve">παρά </w:t>
      </w:r>
      <w:r w:rsidRPr="00343D40">
        <w:rPr>
          <w:rFonts w:ascii="Times New Roman" w:hAnsi="Times New Roman" w:cs="Times New Roman"/>
        </w:rPr>
        <w:t xml:space="preserve">τη διαταγή του υπάτου· και </w:t>
      </w:r>
      <w:r w:rsidR="00343D40">
        <w:rPr>
          <w:rFonts w:ascii="Times New Roman" w:hAnsi="Times New Roman" w:cs="Times New Roman"/>
        </w:rPr>
        <w:t>(</w:t>
      </w:r>
      <w:r w:rsidRPr="00343D40">
        <w:rPr>
          <w:rFonts w:ascii="Times New Roman" w:hAnsi="Times New Roman" w:cs="Times New Roman"/>
        </w:rPr>
        <w:t>όντας</w:t>
      </w:r>
      <w:r w:rsidR="00343D40">
        <w:rPr>
          <w:rFonts w:ascii="Times New Roman" w:hAnsi="Times New Roman" w:cs="Times New Roman"/>
        </w:rPr>
        <w:t>)</w:t>
      </w:r>
      <w:r w:rsidRPr="00343D40">
        <w:rPr>
          <w:rFonts w:ascii="Times New Roman" w:hAnsi="Times New Roman" w:cs="Times New Roman"/>
        </w:rPr>
        <w:t xml:space="preserve"> γενναιότερος από τον εχθρό, τον διαπέρασε με το δόρυ και τον γύμνωσε από τα όπλα. Αμέσως οι εχθροί ζήτησαν τη σωτηρία στη φυγή. Αλλά ο ύπατος, όταν επέστρεψε στο στρατόπεδο, τιμώρησε με θάνατο τον νεαρό, με τις ενέργειες του οποίου οι εχθροί είχαν τραπεί σε φυγή.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E7189" w:rsidTr="00CE7189">
        <w:tc>
          <w:tcPr>
            <w:tcW w:w="10682" w:type="dxa"/>
          </w:tcPr>
          <w:p w:rsidR="00CE7189" w:rsidRPr="00CE7189" w:rsidRDefault="00CE7189" w:rsidP="00A25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: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κόπος (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πληθυντικό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sz w:val="20"/>
                <w:szCs w:val="20"/>
              </w:rPr>
              <w:t>operae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= μισθωτοί εργάτες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~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60B7">
              <w:rPr>
                <w:rFonts w:ascii="Times New Roman" w:hAnsi="Times New Roman" w:cs="Times New Roman"/>
                <w:sz w:val="20"/>
                <w:szCs w:val="20"/>
              </w:rPr>
              <w:t xml:space="preserve">(κυρίως)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αφαιρετική της καταγωγής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~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viribus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: αφαιρετική οργανική του μέσου στο </w:t>
            </w:r>
            <w:proofErr w:type="spellStart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confisus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pugnandi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: γενική 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γε</w:t>
            </w:r>
            <w:r w:rsidR="00A25BB1">
              <w:rPr>
                <w:rFonts w:ascii="Times New Roman" w:hAnsi="Times New Roman" w:cs="Times New Roman"/>
                <w:sz w:val="20"/>
                <w:szCs w:val="20"/>
              </w:rPr>
              <w:t>ρουνδίου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αντικειμενική στο </w:t>
            </w:r>
            <w:proofErr w:type="spellStart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cupiditate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iniussu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60B7">
              <w:rPr>
                <w:rFonts w:ascii="Times New Roman" w:hAnsi="Times New Roman" w:cs="Times New Roman"/>
                <w:sz w:val="20"/>
                <w:szCs w:val="20"/>
              </w:rPr>
              <w:t xml:space="preserve"> (κυρίως) 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αφαιρετική του εσωτερικού αναγκαστικού αιτίου</w:t>
            </w:r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certamen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: εμπρόθετος του σκοπού στο </w:t>
            </w:r>
            <w:proofErr w:type="spellStart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ruit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armis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60B7">
              <w:rPr>
                <w:rFonts w:ascii="Times New Roman" w:hAnsi="Times New Roman" w:cs="Times New Roman"/>
                <w:sz w:val="20"/>
                <w:szCs w:val="20"/>
              </w:rPr>
              <w:t xml:space="preserve">(κυρίως) </w:t>
            </w:r>
            <w:bookmarkStart w:id="0" w:name="_GoBack"/>
            <w:bookmarkEnd w:id="0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αφαιρετική του χωρισμού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~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</w:t>
            </w:r>
            <w:proofErr w:type="spellEnd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: αφαιρετική οργανική του μέσου</w:t>
            </w:r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cuius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>: γενική υποκειμενική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στο </w:t>
            </w:r>
            <w:proofErr w:type="spellStart"/>
            <w:r w:rsidRPr="00D0744C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proofErr w:type="spellEnd"/>
            <w:r w:rsidR="00A25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</w:t>
            </w:r>
            <w:r w:rsidRPr="00D0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cuius</w:t>
            </w:r>
            <w:proofErr w:type="spellEnd"/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opera</w:t>
            </w:r>
            <w:r w:rsidRPr="00D0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Pr="00D074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</w:t>
            </w:r>
            <w:r w:rsidRPr="00D07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74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quem</w:t>
            </w:r>
            <w:proofErr w:type="spellEnd"/>
          </w:p>
        </w:tc>
      </w:tr>
    </w:tbl>
    <w:p w:rsidR="00CE7189" w:rsidRDefault="00CE7189" w:rsidP="00CE71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5BB1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E7189" w:rsidRPr="006560B7" w:rsidTr="00CE7189">
        <w:tc>
          <w:tcPr>
            <w:tcW w:w="5341" w:type="dxa"/>
          </w:tcPr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Β΄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κλίση</w:t>
            </w:r>
          </w:p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Αρσενικά</w:t>
            </w:r>
          </w:p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filius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-ii, (-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)/ Romanus, -I / Manlius, -ii, (-i)</w:t>
            </w:r>
          </w:p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Ουδέτερα</w:t>
            </w:r>
          </w:p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arma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–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castrum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proelium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-ii, (-i)</w:t>
            </w:r>
            <w:r w:rsid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verbum, -i</w:t>
            </w:r>
          </w:p>
          <w:p w:rsidR="00A25BB1" w:rsidRPr="0065124E" w:rsidRDefault="00A25BB1" w:rsidP="00CE7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E7189" w:rsidRPr="00CE7189" w:rsidRDefault="00CE7189" w:rsidP="00CE7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Δ΄κλίση</w:t>
            </w:r>
            <w:proofErr w:type="spellEnd"/>
          </w:p>
          <w:p w:rsidR="00CE7189" w:rsidRPr="00A25BB1" w:rsidRDefault="00CE7189" w:rsidP="00CE7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eventus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-us/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-us/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iniussus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-us</w:t>
            </w:r>
          </w:p>
        </w:tc>
        <w:tc>
          <w:tcPr>
            <w:tcW w:w="5341" w:type="dxa"/>
          </w:tcPr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Γ΄κλίση</w:t>
            </w:r>
            <w:proofErr w:type="spellEnd"/>
          </w:p>
          <w:p w:rsidR="00377517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Αρσενικά</w:t>
            </w:r>
          </w:p>
          <w:p w:rsidR="00377517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adulescens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adulescentis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consul,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consulis</w:t>
            </w:r>
            <w:proofErr w:type="spellEnd"/>
            <w:r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dux,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43D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hostis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-is/ miles,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militis</w:t>
            </w:r>
            <w:proofErr w:type="spellEnd"/>
          </w:p>
          <w:p w:rsidR="00377517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Θηλυκά</w:t>
            </w:r>
          </w:p>
          <w:p w:rsidR="00377517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cupiditas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77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mortis</w:t>
            </w:r>
            <w:r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salutis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irtus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virtutis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vis</w:t>
            </w:r>
          </w:p>
          <w:p w:rsidR="00377517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Ουδέτερα</w:t>
            </w:r>
          </w:p>
          <w:p w:rsidR="00CE7189" w:rsidRPr="00CE7189" w:rsidRDefault="00377517" w:rsidP="00377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certamen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certaminis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genus, generis</w:t>
            </w:r>
          </w:p>
        </w:tc>
      </w:tr>
    </w:tbl>
    <w:p w:rsidR="00CE7189" w:rsidRDefault="00377517" w:rsidP="003775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5BB1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77517" w:rsidRPr="006560B7" w:rsidTr="00377517">
        <w:tc>
          <w:tcPr>
            <w:tcW w:w="5341" w:type="dxa"/>
          </w:tcPr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Συζυγία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abstineo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abstinui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abstentum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abstinēre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5124E"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permoveo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permovi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permotum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permovēre</w:t>
            </w:r>
            <w:proofErr w:type="spellEnd"/>
          </w:p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Ανώμαλα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ρήματα</w:t>
            </w:r>
          </w:p>
          <w:p w:rsidR="00377517" w:rsidRPr="00CE7189" w:rsidRDefault="00377517" w:rsidP="003775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eo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(v)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abitum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abīre</w:t>
            </w:r>
            <w:proofErr w:type="spellEnd"/>
            <w:r w:rsidR="0065124E"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praesum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praefui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proofErr w:type="spellStart"/>
            <w:r w:rsidRPr="00377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praeesse</w:t>
            </w:r>
            <w:proofErr w:type="spellEnd"/>
          </w:p>
          <w:p w:rsidR="0065124E" w:rsidRPr="00343D40" w:rsidRDefault="0065124E" w:rsidP="0065124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65124E" w:rsidRPr="00343D40" w:rsidRDefault="0065124E" w:rsidP="006512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3D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343D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Συζυγία</w:t>
            </w:r>
          </w:p>
          <w:p w:rsidR="00377517" w:rsidRPr="00343D40" w:rsidRDefault="0065124E" w:rsidP="006512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nascor</w:t>
            </w:r>
            <w:proofErr w:type="spellEnd"/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natus</w:t>
            </w:r>
            <w:proofErr w:type="spellEnd"/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nasci</w:t>
            </w:r>
            <w:proofErr w:type="spellEnd"/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7189">
              <w:rPr>
                <w:rFonts w:ascii="Times New Roman" w:hAnsi="Times New Roman" w:cs="Times New Roman"/>
                <w:sz w:val="20"/>
                <w:szCs w:val="20"/>
              </w:rPr>
              <w:t>αποθετικό</w:t>
            </w:r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189">
              <w:rPr>
                <w:rFonts w:ascii="Times New Roman" w:hAnsi="Times New Roman" w:cs="Times New Roman"/>
                <w:bCs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τ</w:t>
            </w:r>
            <w:r w:rsidRPr="00CE7189">
              <w:rPr>
                <w:rFonts w:ascii="Times New Roman" w:hAnsi="Times New Roman" w:cs="Times New Roman"/>
                <w:bCs/>
                <w:sz w:val="20"/>
                <w:szCs w:val="20"/>
              </w:rPr>
              <w:t>χ</w:t>
            </w:r>
            <w:proofErr w:type="spellEnd"/>
            <w:r w:rsidRPr="00343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189">
              <w:rPr>
                <w:rFonts w:ascii="Times New Roman" w:hAnsi="Times New Roman" w:cs="Times New Roman"/>
                <w:bCs/>
                <w:sz w:val="20"/>
                <w:szCs w:val="20"/>
              </w:rPr>
              <w:t>μέλ</w:t>
            </w:r>
            <w:proofErr w:type="spellEnd"/>
            <w:r w:rsidRPr="00343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nasciturus</w:t>
            </w:r>
            <w:proofErr w:type="spellEnd"/>
            <w:r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341" w:type="dxa"/>
          </w:tcPr>
          <w:p w:rsidR="00377517" w:rsidRPr="00377517" w:rsidRDefault="0065124E" w:rsidP="00343D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edico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edixi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edictum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edicĕre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CE7189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οστακτική</w:t>
            </w:r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edic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3D40"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lacesso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lacessivi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lacessitum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-</w:t>
            </w:r>
            <w:proofErr w:type="spellStart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ĕre</w:t>
            </w:r>
            <w:proofErr w:type="spellEnd"/>
            <w:r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+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δοτ</w:t>
            </w:r>
            <w:proofErr w:type="spellEnd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+ </w:t>
            </w:r>
            <w:proofErr w:type="spellStart"/>
            <w:r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αιτ</w:t>
            </w:r>
            <w:proofErr w:type="spellEnd"/>
            <w:r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  <w:r w:rsidR="00343D40" w:rsidRPr="00343D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congredior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congressus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congrĕdi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3*</w:t>
            </w:r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cerno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crevi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cretum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cernĕre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="00377517">
              <w:rPr>
                <w:rFonts w:ascii="Times New Roman" w:hAnsi="Times New Roman" w:cs="Times New Roman"/>
                <w:sz w:val="20"/>
                <w:szCs w:val="20"/>
              </w:rPr>
              <w:t>τ</w:t>
            </w:r>
            <w:r w:rsidR="00377517" w:rsidRPr="00CE7189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proofErr w:type="spellEnd"/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</w:rPr>
              <w:t>παρ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conspectus</w:t>
            </w:r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3D40"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antecello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-, -,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antecellĕre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+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δοτ</w:t>
            </w:r>
            <w:proofErr w:type="spellEnd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+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αφ</w:t>
            </w:r>
            <w:proofErr w:type="spellEnd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αναφοράς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  <w:r w:rsidR="00343D40" w:rsidRPr="00343D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confido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confisus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confidĕre</w:t>
            </w:r>
            <w:proofErr w:type="spellEnd"/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ημ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+</w:t>
            </w:r>
            <w:r w:rsidR="00377517" w:rsidRPr="00A25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αφ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</w:rPr>
              <w:t>μέσου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  <w:r w:rsidR="00343D40" w:rsidRPr="00343D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ruo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rutum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ruĕre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="00377517" w:rsidRPr="00CE7189">
              <w:rPr>
                <w:rFonts w:ascii="Times New Roman" w:hAnsi="Times New Roman" w:cs="Times New Roman"/>
                <w:bCs/>
                <w:sz w:val="20"/>
                <w:szCs w:val="20"/>
              </w:rPr>
              <w:t>μετοχή</w:t>
            </w:r>
            <w:r w:rsidR="00377517" w:rsidRPr="00CE718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377517" w:rsidRPr="00CE7189">
              <w:rPr>
                <w:rFonts w:ascii="Times New Roman" w:hAnsi="Times New Roman" w:cs="Times New Roman"/>
                <w:bCs/>
                <w:sz w:val="20"/>
                <w:szCs w:val="20"/>
              </w:rPr>
              <w:t>μέλλοντα</w:t>
            </w:r>
            <w:r w:rsidR="00377517"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ruiturus</w:t>
            </w:r>
            <w:proofErr w:type="spellEnd"/>
            <w:r w:rsidR="00377517" w:rsidRPr="00CE718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)</w:t>
            </w:r>
            <w:r w:rsidRPr="0065124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343D40" w:rsidRPr="00343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transfigo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transfixi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transfixum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343D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transfigure</w:t>
            </w:r>
            <w:r w:rsidR="00343D40"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peto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(v)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petitum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petĕre</w:t>
            </w:r>
            <w:proofErr w:type="spellEnd"/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="00343D40" w:rsidRPr="00343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5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517" w:rsidRPr="00CE71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revertor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,(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reversus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sum) </w:t>
            </w:r>
            <w:proofErr w:type="spellStart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reverti</w:t>
            </w:r>
            <w:proofErr w:type="spellEnd"/>
            <w:r w:rsidR="00377517" w:rsidRPr="00CE71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377517">
              <w:rPr>
                <w:rFonts w:ascii="Times New Roman" w:hAnsi="Times New Roman" w:cs="Times New Roman"/>
                <w:sz w:val="20"/>
                <w:szCs w:val="20"/>
              </w:rPr>
              <w:t>αποθ</w:t>
            </w:r>
            <w:proofErr w:type="spellEnd"/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77517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7517">
              <w:rPr>
                <w:rFonts w:ascii="Times New Roman" w:hAnsi="Times New Roman" w:cs="Times New Roman"/>
                <w:sz w:val="20"/>
                <w:szCs w:val="20"/>
              </w:rPr>
              <w:t>ημ</w:t>
            </w:r>
            <w:proofErr w:type="spellEnd"/>
            <w:r w:rsidR="00377517" w:rsidRPr="00377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</w:tr>
    </w:tbl>
    <w:p w:rsidR="00377517" w:rsidRDefault="0065124E" w:rsidP="003775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ΔΕΥΤΕΡΕΥΟΥΣΕΣ </w:t>
      </w:r>
      <w:r w:rsidR="00377517" w:rsidRPr="00A25BB1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377517" w:rsidRDefault="00A25BB1" w:rsidP="0037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[1]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omnes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pugna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abstinerent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Δευτερεύουσα ονοματική, βουλητική πρόταση, ως αντικείμενο στο ρήμα 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edixit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 xml:space="preserve">˙ εισάγεται με τον βουλητικό σύνδεσμο </w:t>
      </w:r>
      <w:proofErr w:type="spellStart"/>
      <w:r w:rsidR="00377517" w:rsidRPr="00CA3322">
        <w:rPr>
          <w:rFonts w:ascii="Times New Roman" w:hAnsi="Times New Roman" w:cs="Times New Roman"/>
          <w:b/>
          <w:sz w:val="20"/>
          <w:szCs w:val="20"/>
        </w:rPr>
        <w:t>ut</w:t>
      </w:r>
      <w:proofErr w:type="spellEnd"/>
      <w:r w:rsidR="00377517" w:rsidRPr="00CA3322">
        <w:rPr>
          <w:rFonts w:ascii="Times New Roman" w:hAnsi="Times New Roman" w:cs="Times New Roman"/>
          <w:b/>
          <w:sz w:val="20"/>
          <w:szCs w:val="20"/>
        </w:rPr>
        <w:t>, γιατί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είναι καταφατική, εκφέρεται με </w:t>
      </w:r>
      <w:r w:rsidR="00377517" w:rsidRPr="00CA3322">
        <w:rPr>
          <w:rFonts w:ascii="Times New Roman" w:hAnsi="Times New Roman" w:cs="Times New Roman"/>
          <w:b/>
          <w:sz w:val="20"/>
          <w:szCs w:val="20"/>
        </w:rPr>
        <w:t>υποτακτική, γιατί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το περιεχόμενό της είναι κάτι το επιθυμητό και συγκεκριμένα με υποτακτική παρατατικού (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abstinerent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>), γιατί εξαρτάται από ρήμα ιστορικού χρόνου (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edixit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>) και αναφέρεται στο παρελθόν</w:t>
      </w:r>
      <w:r>
        <w:rPr>
          <w:rFonts w:ascii="Times New Roman" w:hAnsi="Times New Roman" w:cs="Times New Roman"/>
          <w:sz w:val="20"/>
          <w:szCs w:val="20"/>
        </w:rPr>
        <w:t>. Έχο</w:t>
      </w:r>
      <w:r w:rsidR="00343D40">
        <w:rPr>
          <w:rFonts w:ascii="Times New Roman" w:hAnsi="Times New Roman" w:cs="Times New Roman"/>
          <w:sz w:val="20"/>
          <w:szCs w:val="20"/>
        </w:rPr>
        <w:t>υμε ιδιόμορφη ακολουθία χρόνων κτλ.</w:t>
      </w:r>
    </w:p>
    <w:p w:rsidR="00377517" w:rsidRDefault="00A25BB1" w:rsidP="0037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[2]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singularis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proelii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eventu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cernatur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 δευτερεύουσα επιρρηματική, τελική πρόταση, ως επιρρηματικός προσδιορισμός του σκοπού στο περιεχόμενο της κύριας πρότασης με ρήμα το 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congrediamur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 xml:space="preserve"> . Εισάγεται με τον τελικό σύνδεσμο </w:t>
      </w:r>
      <w:proofErr w:type="spellStart"/>
      <w:r w:rsidR="00377517" w:rsidRPr="00CA3322">
        <w:rPr>
          <w:rFonts w:ascii="Times New Roman" w:hAnsi="Times New Roman" w:cs="Times New Roman"/>
          <w:b/>
          <w:sz w:val="20"/>
          <w:szCs w:val="20"/>
        </w:rPr>
        <w:t>υt</w:t>
      </w:r>
      <w:proofErr w:type="spellEnd"/>
      <w:r w:rsidR="00377517" w:rsidRPr="00CA3322">
        <w:rPr>
          <w:rFonts w:ascii="Times New Roman" w:hAnsi="Times New Roman" w:cs="Times New Roman"/>
          <w:b/>
          <w:sz w:val="20"/>
          <w:szCs w:val="20"/>
        </w:rPr>
        <w:t xml:space="preserve"> επειδή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είναι καταφατική</w:t>
      </w:r>
      <w:r>
        <w:rPr>
          <w:rFonts w:ascii="Times New Roman" w:hAnsi="Times New Roman" w:cs="Times New Roman"/>
          <w:sz w:val="20"/>
          <w:szCs w:val="20"/>
        </w:rPr>
        <w:t>·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εκφέρεται με </w:t>
      </w:r>
      <w:r w:rsidR="00377517" w:rsidRPr="00CA3322">
        <w:rPr>
          <w:rFonts w:ascii="Times New Roman" w:hAnsi="Times New Roman" w:cs="Times New Roman"/>
          <w:b/>
          <w:sz w:val="20"/>
          <w:szCs w:val="20"/>
        </w:rPr>
        <w:t>υποτακτική, γιατί</w:t>
      </w:r>
      <w:r w:rsidR="00343D40">
        <w:rPr>
          <w:rFonts w:ascii="Times New Roman" w:hAnsi="Times New Roman" w:cs="Times New Roman"/>
          <w:sz w:val="20"/>
          <w:szCs w:val="20"/>
        </w:rPr>
        <w:t xml:space="preserve"> ο σκοπός στα λατινικά είναι </w:t>
      </w:r>
      <w:proofErr w:type="spellStart"/>
      <w:r w:rsidR="00343D40">
        <w:rPr>
          <w:rFonts w:ascii="Times New Roman" w:hAnsi="Times New Roman" w:cs="Times New Roman"/>
          <w:sz w:val="20"/>
          <w:szCs w:val="20"/>
        </w:rPr>
        <w:t>μαι</w:t>
      </w:r>
      <w:proofErr w:type="spellEnd"/>
      <w:r w:rsidR="00343D40">
        <w:rPr>
          <w:rFonts w:ascii="Times New Roman" w:hAnsi="Times New Roman" w:cs="Times New Roman"/>
          <w:sz w:val="20"/>
          <w:szCs w:val="20"/>
        </w:rPr>
        <w:t xml:space="preserve"> υποκειμενική κατάσταση</w:t>
      </w:r>
      <w:r w:rsidR="00377517" w:rsidRPr="00377517">
        <w:rPr>
          <w:rFonts w:ascii="Times New Roman" w:hAnsi="Times New Roman" w:cs="Times New Roman"/>
          <w:sz w:val="20"/>
          <w:szCs w:val="20"/>
        </w:rPr>
        <w:t>, και συγκεκριμένα με υποτακτική ενεστώτα (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cernatur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>), γιατί εξαρτάται από ρήμα αρκτικού χρόνου (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congrediamur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>) και αναφέρεται στο παρόν</w:t>
      </w:r>
      <w:r>
        <w:rPr>
          <w:rFonts w:ascii="Times New Roman" w:hAnsi="Times New Roman" w:cs="Times New Roman"/>
          <w:sz w:val="20"/>
          <w:szCs w:val="20"/>
        </w:rPr>
        <w:t>. Έχουμε ιδιόμορφη ακολουθία χρόνων, διότι ο σκοπός είναι ιδωμένος</w:t>
      </w:r>
      <w:r w:rsidR="0065124E">
        <w:rPr>
          <w:rFonts w:ascii="Times New Roman" w:hAnsi="Times New Roman" w:cs="Times New Roman"/>
          <w:sz w:val="20"/>
          <w:szCs w:val="20"/>
        </w:rPr>
        <w:t xml:space="preserve"> κτλ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25BB1" w:rsidRDefault="00A25BB1" w:rsidP="0037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[3]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quanto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miles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Latinus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Romano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virtute</w:t>
      </w:r>
      <w:proofErr w:type="spellEnd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77517" w:rsidRPr="00377517">
        <w:rPr>
          <w:rFonts w:ascii="Times New Roman" w:hAnsi="Times New Roman" w:cs="Times New Roman"/>
          <w:b/>
          <w:bCs/>
          <w:sz w:val="20"/>
          <w:szCs w:val="20"/>
        </w:rPr>
        <w:t>antecellat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 xml:space="preserve">: δευτερεύουσα ουσιαστική πλάγια ερωτηματική πρόταση, μερικής αγνοίας, ως υποκείμενο στο 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cernatur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 xml:space="preserve">˙ εισάγεται με την ερωτηματική αντωνυμία 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quantο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 xml:space="preserve">˙ εκφέρεται με </w:t>
      </w:r>
      <w:r w:rsidR="00377517" w:rsidRPr="00CA3322">
        <w:rPr>
          <w:rFonts w:ascii="Times New Roman" w:hAnsi="Times New Roman" w:cs="Times New Roman"/>
          <w:b/>
          <w:sz w:val="20"/>
          <w:szCs w:val="20"/>
        </w:rPr>
        <w:t>υποτακτική, γιατί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η εξάρτηση δίνει υποκειμενική χροιά στο περιεχόμενο της πρότασης και συγκεκριμένα με υποτακτική ενεστώτα (</w:t>
      </w:r>
      <w:proofErr w:type="spellStart"/>
      <w:r w:rsidR="00377517" w:rsidRPr="00377517">
        <w:rPr>
          <w:rFonts w:ascii="Times New Roman" w:hAnsi="Times New Roman" w:cs="Times New Roman"/>
          <w:sz w:val="20"/>
          <w:szCs w:val="20"/>
        </w:rPr>
        <w:t>antecellat</w:t>
      </w:r>
      <w:proofErr w:type="spellEnd"/>
      <w:r w:rsidR="00377517" w:rsidRPr="00377517">
        <w:rPr>
          <w:rFonts w:ascii="Times New Roman" w:hAnsi="Times New Roman" w:cs="Times New Roman"/>
          <w:sz w:val="20"/>
          <w:szCs w:val="20"/>
        </w:rPr>
        <w:t>), γιατί εξαρτάται από αρκτι</w:t>
      </w:r>
      <w:r w:rsidR="00343D40">
        <w:rPr>
          <w:rFonts w:ascii="Times New Roman" w:hAnsi="Times New Roman" w:cs="Times New Roman"/>
          <w:sz w:val="20"/>
          <w:szCs w:val="20"/>
        </w:rPr>
        <w:t>κό χρόνο (</w:t>
      </w:r>
      <w:proofErr w:type="spellStart"/>
      <w:r w:rsidR="00343D40">
        <w:rPr>
          <w:rFonts w:ascii="Times New Roman" w:hAnsi="Times New Roman" w:cs="Times New Roman"/>
          <w:sz w:val="20"/>
          <w:szCs w:val="20"/>
        </w:rPr>
        <w:t>cernatur</w:t>
      </w:r>
      <w:proofErr w:type="spellEnd"/>
      <w:r w:rsidR="00343D40">
        <w:rPr>
          <w:rFonts w:ascii="Times New Roman" w:hAnsi="Times New Roman" w:cs="Times New Roman"/>
          <w:sz w:val="20"/>
          <w:szCs w:val="20"/>
        </w:rPr>
        <w:t>) και δηλώνει</w:t>
      </w:r>
      <w:r w:rsidR="00377517" w:rsidRPr="00377517">
        <w:rPr>
          <w:rFonts w:ascii="Times New Roman" w:hAnsi="Times New Roman" w:cs="Times New Roman"/>
          <w:sz w:val="20"/>
          <w:szCs w:val="20"/>
        </w:rPr>
        <w:t xml:space="preserve"> το σύγχρονο στο παρόν.</w:t>
      </w:r>
    </w:p>
    <w:sectPr w:rsidR="00A25BB1" w:rsidSect="007E2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2"/>
    <w:rsid w:val="00343D40"/>
    <w:rsid w:val="00377517"/>
    <w:rsid w:val="003E3BFE"/>
    <w:rsid w:val="004F078D"/>
    <w:rsid w:val="0065124E"/>
    <w:rsid w:val="006560B7"/>
    <w:rsid w:val="007E21DA"/>
    <w:rsid w:val="00853192"/>
    <w:rsid w:val="00A25BB1"/>
    <w:rsid w:val="00CA3322"/>
    <w:rsid w:val="00CE7189"/>
    <w:rsid w:val="00D0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6095"/>
  <w15:docId w15:val="{930D3D5C-1CFD-4487-B59C-CED2BDD6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</cp:revision>
  <dcterms:created xsi:type="dcterms:W3CDTF">2022-01-06T08:31:00Z</dcterms:created>
  <dcterms:modified xsi:type="dcterms:W3CDTF">2026-01-13T18:46:00Z</dcterms:modified>
</cp:coreProperties>
</file>