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4120" w14:textId="77777777" w:rsidR="00EB67F3" w:rsidRDefault="00EB67F3" w:rsidP="00EB67F3">
      <w:pPr>
        <w:pStyle w:val="NormalWeb"/>
        <w:jc w:val="both"/>
      </w:pPr>
      <w:r>
        <w:rPr>
          <w:rFonts w:ascii="Comic Sans MS" w:hAnsi="Comic Sans MS"/>
        </w:rPr>
        <w:t>"</w:t>
      </w:r>
      <w:r>
        <w:rPr>
          <w:rStyle w:val="Strong"/>
          <w:rFonts w:ascii="Comic Sans MS" w:eastAsiaTheme="majorEastAsia" w:hAnsi="Comic Sans MS"/>
          <w:sz w:val="28"/>
          <w:szCs w:val="28"/>
        </w:rPr>
        <w:t>CLIL</w:t>
      </w:r>
      <w:r>
        <w:rPr>
          <w:rFonts w:ascii="Comic Sans MS" w:hAnsi="Comic Sans MS"/>
        </w:rPr>
        <w:t xml:space="preserve"> stands for Content and Language Integrated Learning and it refers to educational settings where a language other than the students' mother tongue is used as the medium of instruction. Researchers and practitioners have been using it as an umbrella term to refer to the various European programmes of bilingual education"(Matthaioudakis, 2014). In other words, the term CLIL describes both learning another (content) subject (Citizenship Education in our case) through the medium of a foreign language (i.e. English) and learning a foreign language (i.e. English) by studying a content-based subject (i.e. Citizenship Education). Forms of CLIL have previously been known as "Content-based instruction", "English across the curriculum" and "Bilingual education".</w:t>
      </w:r>
    </w:p>
    <w:p w14:paraId="19F7240C" w14:textId="77777777" w:rsidR="00EB67F3" w:rsidRDefault="00EB67F3" w:rsidP="00EB67F3">
      <w:pPr>
        <w:pStyle w:val="NormalWeb"/>
        <w:jc w:val="both"/>
      </w:pPr>
      <w:r>
        <w:rPr>
          <w:rFonts w:ascii="Comic Sans MS" w:hAnsi="Comic Sans MS"/>
        </w:rPr>
        <w:t>The basis of CLIL is that content subjects are taught and learnt in a language which is not the learners' mother tongue. Language is integrated into the broad curriculum and its knowledge becomes the means of  learning content; it is seen in real-life situations, in which it can be acquired by students. It is, thus, natural language development which builds on other forms of learning, improved through increased motivation and the study of the natural language seen in context. CLIL is based on language acquisition rather than enforced learning. Moreover, when learners are interested in a topic, they are motivated to acquire language to communicate. Fluency is more important than accuracy and errors are a natural part of language learning. CLIL draws on the lexical approach, encouraging learners to notice language while reading. Focus is on lexis rather than on grammar since language is related to the subject. Level and grading are unimportant; pre-, while- and post-reading tasks are as appropriate in the subject context as in the language context.</w:t>
      </w:r>
    </w:p>
    <w:p w14:paraId="392E9569" w14:textId="77777777" w:rsidR="00EB67F3" w:rsidRDefault="00EB67F3" w:rsidP="00EB67F3">
      <w:pPr>
        <w:pStyle w:val="NormalWeb"/>
        <w:jc w:val="both"/>
      </w:pPr>
      <w:r>
        <w:rPr>
          <w:rFonts w:ascii="Comic Sans MS" w:hAnsi="Comic Sans MS"/>
        </w:rPr>
        <w:t>The whole concept of CLIL is based around four principles of learning, known as </w:t>
      </w:r>
      <w:r>
        <w:rPr>
          <w:rStyle w:val="Strong"/>
          <w:rFonts w:ascii="Comic Sans MS" w:eastAsiaTheme="majorEastAsia" w:hAnsi="Comic Sans MS"/>
        </w:rPr>
        <w:t>"the 4 Cs"</w:t>
      </w:r>
    </w:p>
    <w:p w14:paraId="4B26A7B3" w14:textId="77777777" w:rsidR="00EB67F3" w:rsidRDefault="00EB67F3" w:rsidP="00EB67F3">
      <w:pPr>
        <w:pStyle w:val="NormalWeb"/>
        <w:jc w:val="both"/>
      </w:pPr>
      <w:r>
        <w:rPr>
          <w:rStyle w:val="Strong"/>
          <w:rFonts w:ascii="Comic Sans MS" w:eastAsiaTheme="majorEastAsia" w:hAnsi="Comic Sans MS"/>
        </w:rPr>
        <w:t>Communication</w:t>
      </w:r>
      <w:r>
        <w:rPr>
          <w:rFonts w:ascii="Comic Sans MS" w:hAnsi="Comic Sans MS"/>
        </w:rPr>
        <w:t>. All students come to class with the potential to participate in a positive way. This increases personal investment and ownership of their learning, which helps make language more memorable in all subjects.</w:t>
      </w:r>
    </w:p>
    <w:p w14:paraId="24FC4D9A" w14:textId="77777777" w:rsidR="00EB67F3" w:rsidRDefault="00EB67F3" w:rsidP="00EB67F3">
      <w:pPr>
        <w:pStyle w:val="NormalWeb"/>
        <w:jc w:val="both"/>
      </w:pPr>
      <w:r>
        <w:rPr>
          <w:rStyle w:val="Strong"/>
          <w:rFonts w:ascii="Comic Sans MS" w:eastAsiaTheme="majorEastAsia" w:hAnsi="Comic Sans MS"/>
        </w:rPr>
        <w:t>Culture</w:t>
      </w:r>
      <w:r>
        <w:rPr>
          <w:rFonts w:ascii="Comic Sans MS" w:hAnsi="Comic Sans MS"/>
        </w:rPr>
        <w:t>. It is important for learners to feel that they can share and work as part of a group and that they have something in common with others in their class. This builds up their respect for others and their own self-confidence.</w:t>
      </w:r>
    </w:p>
    <w:p w14:paraId="7E39E309" w14:textId="77777777" w:rsidR="00EB67F3" w:rsidRDefault="00EB67F3" w:rsidP="00EB67F3">
      <w:pPr>
        <w:pStyle w:val="NormalWeb"/>
        <w:jc w:val="both"/>
      </w:pPr>
      <w:r>
        <w:rPr>
          <w:rStyle w:val="Strong"/>
          <w:rFonts w:ascii="Comic Sans MS" w:eastAsiaTheme="majorEastAsia" w:hAnsi="Comic Sans MS"/>
        </w:rPr>
        <w:t>Cognition.</w:t>
      </w:r>
      <w:r>
        <w:rPr>
          <w:rFonts w:ascii="Comic Sans MS" w:hAnsi="Comic Sans MS"/>
        </w:rPr>
        <w:t xml:space="preserve"> Students like to bring knowledge into the classroom and feel comfortable dealing with familiar subject matters but they also remember challenging situations better than easy tasks. Students are encouraged to use a range of thinking skills, their real life experiences as well as their own level of </w:t>
      </w:r>
      <w:r>
        <w:rPr>
          <w:rFonts w:ascii="Comic Sans MS" w:hAnsi="Comic Sans MS"/>
        </w:rPr>
        <w:lastRenderedPageBreak/>
        <w:t>articulation, achievement and evaluation. In some cases, it has been found that the thinking and content processes are faster in the foreign language.</w:t>
      </w:r>
    </w:p>
    <w:p w14:paraId="0DC7C529" w14:textId="77777777" w:rsidR="00EB67F3" w:rsidRDefault="00EB67F3" w:rsidP="00EB67F3">
      <w:pPr>
        <w:pStyle w:val="NormalWeb"/>
        <w:jc w:val="both"/>
      </w:pPr>
      <w:r>
        <w:rPr>
          <w:rStyle w:val="Strong"/>
          <w:rFonts w:ascii="Comic Sans MS" w:eastAsiaTheme="majorEastAsia" w:hAnsi="Comic Sans MS"/>
        </w:rPr>
        <w:t>Content.</w:t>
      </w:r>
      <w:r>
        <w:rPr>
          <w:rFonts w:ascii="Comic Sans MS" w:hAnsi="Comic Sans MS"/>
        </w:rPr>
        <w:t xml:space="preserve"> Students pay far more attention to the situation than to the language; moreover, they learn through experiential activities and link new information to existing knowledge inside and outside the classroom. Content needs to be natural, real or understandable, relate to the children's previous experiences, be engaging and allow for learning to be active, encouraging language use as a vehicle to do things (simulations, tasks, role plays).</w:t>
      </w:r>
    </w:p>
    <w:p w14:paraId="43E37728" w14:textId="77777777" w:rsidR="00EB67F3" w:rsidRDefault="00EB67F3" w:rsidP="00EB67F3">
      <w:pPr>
        <w:pStyle w:val="NormalWeb"/>
        <w:jc w:val="both"/>
      </w:pPr>
      <w:r>
        <w:rPr>
          <w:rFonts w:ascii="Comic Sans MS" w:hAnsi="Comic Sans MS"/>
        </w:rPr>
        <w:t>The introduction of CLIL at all educational levels has been recorded as one of the priorities of various Educational systems in Europe, in acknowledgement of its considerable beneficial aspects. The European Union is advocating education for mobility, employability and growth. This, by default, suggests an education which is based on competences. In that sense, teaching content through a foreign language can be regarded as an approach to rise to this challenge because CLIL places learners in the role of researchers of resources, and co-creators of materials. It also promotes intercultural knowledge, understanding and communication while it confers the benefit of mobility of labour and social justice all over Europe.</w:t>
      </w:r>
    </w:p>
    <w:p w14:paraId="085F1B64" w14:textId="77777777" w:rsidR="00EB67F3" w:rsidRDefault="00EB67F3" w:rsidP="00EB67F3">
      <w:pPr>
        <w:pStyle w:val="NormalWeb"/>
        <w:jc w:val="both"/>
      </w:pPr>
      <w:r>
        <w:rPr>
          <w:rStyle w:val="Strong"/>
          <w:rFonts w:ascii="Comic Sans MS" w:eastAsiaTheme="majorEastAsia" w:hAnsi="Comic Sans MS"/>
        </w:rPr>
        <w:t>References</w:t>
      </w:r>
    </w:p>
    <w:p w14:paraId="43AA8759" w14:textId="77777777" w:rsidR="00EB67F3" w:rsidRDefault="00EB67F3" w:rsidP="00EB67F3">
      <w:pPr>
        <w:pStyle w:val="NormalWeb"/>
        <w:jc w:val="both"/>
      </w:pPr>
      <w:r>
        <w:rPr>
          <w:rFonts w:ascii="Comic Sans MS" w:hAnsi="Comic Sans MS"/>
        </w:rPr>
        <w:t xml:space="preserve">Bialystok, E. (2001). </w:t>
      </w:r>
      <w:r>
        <w:rPr>
          <w:rStyle w:val="Emphasis"/>
          <w:rFonts w:ascii="Comic Sans MS" w:eastAsiaTheme="majorEastAsia" w:hAnsi="Comic Sans MS"/>
        </w:rPr>
        <w:t>Bilingualism in Development: Language, Literacy and Cognition.</w:t>
      </w:r>
      <w:r>
        <w:rPr>
          <w:rFonts w:ascii="Comic Sans MS" w:hAnsi="Comic Sans MS"/>
        </w:rPr>
        <w:t xml:space="preserve"> Cambridge: Cambridge University Press.</w:t>
      </w:r>
    </w:p>
    <w:p w14:paraId="001727C5" w14:textId="77777777" w:rsidR="00EB67F3" w:rsidRDefault="00EB67F3" w:rsidP="00EB67F3">
      <w:pPr>
        <w:pStyle w:val="NormalWeb"/>
        <w:jc w:val="both"/>
      </w:pPr>
      <w:r>
        <w:rPr>
          <w:rFonts w:ascii="Comic Sans MS" w:hAnsi="Comic Sans MS"/>
        </w:rPr>
        <w:t xml:space="preserve">Coyle, D. (1999). ‘Theory and planning for effective classrooms: supporting students in content and language integrated learning contexts’. In J. Masih (Ed), </w:t>
      </w:r>
      <w:r>
        <w:rPr>
          <w:rStyle w:val="Emphasis"/>
          <w:rFonts w:ascii="Comic Sans MS" w:eastAsiaTheme="majorEastAsia" w:hAnsi="Comic Sans MS"/>
        </w:rPr>
        <w:t>Learning Through a Foreign Language</w:t>
      </w:r>
      <w:r>
        <w:rPr>
          <w:rFonts w:ascii="Comic Sans MS" w:hAnsi="Comic Sans MS"/>
        </w:rPr>
        <w:t xml:space="preserve"> London: CILT.</w:t>
      </w:r>
    </w:p>
    <w:p w14:paraId="135D5A28" w14:textId="77777777" w:rsidR="00EB67F3" w:rsidRDefault="00EB67F3" w:rsidP="00EB67F3">
      <w:pPr>
        <w:pStyle w:val="NormalWeb"/>
        <w:jc w:val="both"/>
      </w:pPr>
      <w:r>
        <w:rPr>
          <w:rFonts w:ascii="Comic Sans MS" w:hAnsi="Comic Sans MS"/>
        </w:rPr>
        <w:t xml:space="preserve">Cummins, J. (2000). </w:t>
      </w:r>
      <w:r>
        <w:rPr>
          <w:rStyle w:val="Emphasis"/>
          <w:rFonts w:ascii="Comic Sans MS" w:eastAsiaTheme="majorEastAsia" w:hAnsi="Comic Sans MS"/>
        </w:rPr>
        <w:t>Language, power, and pedagogy: bilingual children in the cross-fire</w:t>
      </w:r>
      <w:r>
        <w:rPr>
          <w:rFonts w:ascii="Comic Sans MS" w:hAnsi="Comic Sans MS"/>
        </w:rPr>
        <w:t>. Clevedon, UK: Multilingual Matters Ltd.</w:t>
      </w:r>
    </w:p>
    <w:p w14:paraId="7F585CBD" w14:textId="77777777" w:rsidR="00EB67F3" w:rsidRDefault="00EB67F3" w:rsidP="00EB67F3">
      <w:pPr>
        <w:pStyle w:val="NormalWeb"/>
        <w:jc w:val="both"/>
      </w:pPr>
      <w:r>
        <w:rPr>
          <w:rFonts w:ascii="Comic Sans MS" w:hAnsi="Comic Sans MS"/>
        </w:rPr>
        <w:t>Mattheoudakis, M., T Alexiou, C Laskaridou. (2014)  ‘</w:t>
      </w:r>
      <w:hyperlink r:id="rId4" w:history="1">
        <w:r>
          <w:rPr>
            <w:rStyle w:val="Hyperlink"/>
            <w:rFonts w:ascii="Comic Sans MS" w:eastAsiaTheme="majorEastAsia" w:hAnsi="Comic Sans MS"/>
          </w:rPr>
          <w:t>To CLIL or not to CLIL? The case of the 3rd Experimental Primary School in Evosmos</w:t>
        </w:r>
      </w:hyperlink>
      <w:r>
        <w:rPr>
          <w:rFonts w:ascii="Comic Sans MS" w:hAnsi="Comic Sans MS"/>
        </w:rPr>
        <w:t>’- Major Trends in Theoretical and Applied Linguistics.</w:t>
      </w:r>
    </w:p>
    <w:p w14:paraId="2CDBFEB5" w14:textId="77777777" w:rsidR="00EB67F3" w:rsidRDefault="00EB67F3"/>
    <w:sectPr w:rsidR="00EB6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F3"/>
    <w:rsid w:val="004354E5"/>
    <w:rsid w:val="00EB67F3"/>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38654822"/>
  <w15:chartTrackingRefBased/>
  <w15:docId w15:val="{2FE3724B-EEBF-EA45-8961-3C6857C0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7F3"/>
    <w:rPr>
      <w:rFonts w:eastAsiaTheme="majorEastAsia" w:cstheme="majorBidi"/>
      <w:color w:val="272727" w:themeColor="text1" w:themeTint="D8"/>
    </w:rPr>
  </w:style>
  <w:style w:type="paragraph" w:styleId="Title">
    <w:name w:val="Title"/>
    <w:basedOn w:val="Normal"/>
    <w:next w:val="Normal"/>
    <w:link w:val="TitleChar"/>
    <w:uiPriority w:val="10"/>
    <w:qFormat/>
    <w:rsid w:val="00EB6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7F3"/>
    <w:pPr>
      <w:spacing w:before="160"/>
      <w:jc w:val="center"/>
    </w:pPr>
    <w:rPr>
      <w:i/>
      <w:iCs/>
      <w:color w:val="404040" w:themeColor="text1" w:themeTint="BF"/>
    </w:rPr>
  </w:style>
  <w:style w:type="character" w:customStyle="1" w:styleId="QuoteChar">
    <w:name w:val="Quote Char"/>
    <w:basedOn w:val="DefaultParagraphFont"/>
    <w:link w:val="Quote"/>
    <w:uiPriority w:val="29"/>
    <w:rsid w:val="00EB67F3"/>
    <w:rPr>
      <w:i/>
      <w:iCs/>
      <w:color w:val="404040" w:themeColor="text1" w:themeTint="BF"/>
    </w:rPr>
  </w:style>
  <w:style w:type="paragraph" w:styleId="ListParagraph">
    <w:name w:val="List Paragraph"/>
    <w:basedOn w:val="Normal"/>
    <w:uiPriority w:val="34"/>
    <w:qFormat/>
    <w:rsid w:val="00EB67F3"/>
    <w:pPr>
      <w:ind w:left="720"/>
      <w:contextualSpacing/>
    </w:pPr>
  </w:style>
  <w:style w:type="character" w:styleId="IntenseEmphasis">
    <w:name w:val="Intense Emphasis"/>
    <w:basedOn w:val="DefaultParagraphFont"/>
    <w:uiPriority w:val="21"/>
    <w:qFormat/>
    <w:rsid w:val="00EB67F3"/>
    <w:rPr>
      <w:i/>
      <w:iCs/>
      <w:color w:val="0F4761" w:themeColor="accent1" w:themeShade="BF"/>
    </w:rPr>
  </w:style>
  <w:style w:type="paragraph" w:styleId="IntenseQuote">
    <w:name w:val="Intense Quote"/>
    <w:basedOn w:val="Normal"/>
    <w:next w:val="Normal"/>
    <w:link w:val="IntenseQuoteChar"/>
    <w:uiPriority w:val="30"/>
    <w:qFormat/>
    <w:rsid w:val="00EB6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7F3"/>
    <w:rPr>
      <w:i/>
      <w:iCs/>
      <w:color w:val="0F4761" w:themeColor="accent1" w:themeShade="BF"/>
    </w:rPr>
  </w:style>
  <w:style w:type="character" w:styleId="IntenseReference">
    <w:name w:val="Intense Reference"/>
    <w:basedOn w:val="DefaultParagraphFont"/>
    <w:uiPriority w:val="32"/>
    <w:qFormat/>
    <w:rsid w:val="00EB67F3"/>
    <w:rPr>
      <w:b/>
      <w:bCs/>
      <w:smallCaps/>
      <w:color w:val="0F4761" w:themeColor="accent1" w:themeShade="BF"/>
      <w:spacing w:val="5"/>
    </w:rPr>
  </w:style>
  <w:style w:type="paragraph" w:styleId="NormalWeb">
    <w:name w:val="Normal (Web)"/>
    <w:basedOn w:val="Normal"/>
    <w:uiPriority w:val="99"/>
    <w:semiHidden/>
    <w:unhideWhenUsed/>
    <w:rsid w:val="00EB67F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B67F3"/>
    <w:rPr>
      <w:b/>
      <w:bCs/>
    </w:rPr>
  </w:style>
  <w:style w:type="character" w:styleId="Emphasis">
    <w:name w:val="Emphasis"/>
    <w:basedOn w:val="DefaultParagraphFont"/>
    <w:uiPriority w:val="20"/>
    <w:qFormat/>
    <w:rsid w:val="00EB67F3"/>
    <w:rPr>
      <w:i/>
      <w:iCs/>
    </w:rPr>
  </w:style>
  <w:style w:type="character" w:styleId="Hyperlink">
    <w:name w:val="Hyperlink"/>
    <w:basedOn w:val="DefaultParagraphFont"/>
    <w:uiPriority w:val="99"/>
    <w:semiHidden/>
    <w:unhideWhenUsed/>
    <w:rsid w:val="00EB67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google.com/scholar?oi=bibs&amp;cluster=14745238196197883236&amp;btnI=1&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3959</Characters>
  <Application>Microsoft Office Word</Application>
  <DocSecurity>0</DocSecurity>
  <Lines>65</Lines>
  <Paragraphs>13</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ΑΓΓΕΛΙΚΗ ΛΑΔΑ</dc:creator>
  <cp:keywords/>
  <dc:description/>
  <cp:lastModifiedBy>ΑΓΓΕΛΙΚΗ ΛΑΔΑ</cp:lastModifiedBy>
  <cp:revision>1</cp:revision>
  <dcterms:created xsi:type="dcterms:W3CDTF">2026-01-30T16:22:00Z</dcterms:created>
  <dcterms:modified xsi:type="dcterms:W3CDTF">2026-01-30T16:24:00Z</dcterms:modified>
</cp:coreProperties>
</file>