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i w:val="false"/>
          <w:iCs/>
          <w:sz w:val="22"/>
          <w:szCs w:val="22"/>
        </w:rPr>
        <w:t>Ι. ΠΟΛΙΤΙΣΜΟΙ ΤΗΣ ΕΓΓΥΣ ΑΝΑΤΟΛΗΣ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i w:val="false"/>
          <w:iCs/>
          <w:sz w:val="22"/>
          <w:szCs w:val="22"/>
          <w:u w:val="none"/>
        </w:rPr>
        <w:t>ΑΙΓΥΠΤΟΣ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3627755" cy="3056255"/>
            <wp:effectExtent l="0" t="0" r="0" b="0"/>
            <wp:wrapSquare wrapText="bothSides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70" r="-59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Γ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 xml:space="preserve">εωγραφική θέση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- Βρίσκεται στο ΒΑ τμήμα της Αφρικής. Ο Ηρόδοτος την είχε ονομάσει «το δώρο του Νείλου».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- Οι πηγές του Νείλου βρίσκονται στα όρη της Αιθιοπίας. Ο ποταμός εκβάλλει στη Μεσόγειο θάλασσα όπου οι διακλαδώσεις του σχηματίζουν ένα δέλτα. Δυτικά βρίσκεται η Λιβυκή έρημος και ανατολικά η έρημος που φτάνει μέχρι το Σινά και την Ερυθρά Θάλασσα. Ο ποταμός πλημμύριζε τους καλοκαιρινούς μήνες και οι πλημμύρες άφηναν ένα στρώμα λάσπης που καθιστούσε τη γη εύφορη.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- Τμήματα της χώρας: Άνω Αίγυπτος (νότιο, ορεινό και βραχώδες) 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                                  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Κάτω Αίγυπτος (βόρειο, μεσογειακό)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Οικονομία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α)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Γεωργία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: Ο Αιγυπτιακός λαός εργάζεται επίπονα για την άρδευση του ποταμού και την κατασκευή αυλακιών. Η αγροτική παραγωγή γίνεται υπό την επίβλεψη των βασιλικών υπαλλήλων που δίνουν ένα μεγάλο μέρος της στον Φαραώ.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Καλλιεργούνται σιτάρι, κριθάρι, λινάρι, οπωροφόρα δέντρα, ενώ στις όχθες του ποταμού οι Αιγύπτιοι μαζεύουν λωτούς και πάπυρο.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Ασχολούνται επίσης με την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αλιεία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και την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κτηνοτροφία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β) Οικοδόμηση: Ναοί, ανάκτορα, ταφικά μνημεία.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Πολλοί τεχνίτες (μεταλλουργοί, ξυλουργοί κ.ά.) εργάζονται σε ανακτορικά και ιδιωτικά εργαστήρια.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γ) Εμπόριο: Εισαγωγές μετάλλων και ξυλείας.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                  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Εξαγωγές δημητριακών και παπύρου.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Κοινωνία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Φαραώ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(ενσάρκωση του επίγειου θεού).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Ιερείς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(ανώτεροι κρατικοί υπάλληλοι) – γραφείς – επαγγελματίες στρατιωτικοί.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Ελεύθεροι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πολίτες (τεχνίτες ή αγρότες).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Δούλοι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: Ιδιωτικοί (εργάζονται σε σπίτια) και κρατικοί (εργάζονται σε ορυχεία, λατομεία, κρατικά εργαστήρια).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Πολιτική οργάνωση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Η οργάνωση του κράτους έχει χαρακτήρα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θεοκρατικό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Θρησκεία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- Η θρησκεία των Αιγυπτίων ήταν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πολυθεϊστική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. Μερικοί από τους θεούς στους οποίους πίστευαν ήταν ο Αμμών Ρα, ο Ώρος, ο Όσιρις, η Ίσις και αντιπροσώπευαν το φως, τον ήλιο, τη βλάστηση, τη γονιμότητα. Υπήρχαν και πολλοί άλλοι θεοί – προστάτες του έρωτα, της δικαιοσύνης, του φεγγαριού, του Νείλου, της πλημμύρας κλπ.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-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Κάθε πόλη έχει τον δικό της θεό-προστάτη.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- Οι θεοί έχουν ανθρώπινο σώμα και ζωόμορφο πρόσωπο.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- Ακενατών: προσπάθεια επιβολής του θεού Ρα και καταπολέμηση πολυθεΐας.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- Οι Αιγύπτιοι πίστευαν στη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μετά θάνατον ζωή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. Με το θάνατο η ψυχή χωρίζεται από το σώμα και περιπλανιέται ελεύθερη. Το σώμα πρέπει να διατηρηθεί στην καλύτερη δυνατή κατάσταση, ώστε η ψυχή να το αναγνωρίσει και να το κατοικήσει ξανά. Αυτό θα ήταν δυνατό με τη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 xml:space="preserve"> διαδικασία της ταρίχευσης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ή μουμιοποίησης.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-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Ταφικά μνημεία με εξαίρετη διακόσμηση και πλούτη.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Γραφή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Το είδος γραφής που χρησιμοποιούσαν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από την 4η χιλιετία π.Χ.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οι Αιγύπτιοι ήταν τα ιερογλυφικά, μια γραφή συμβολική και φθογγολογική. Τα ιερογλυφικά ήταν μια πολύ δύσκολη γραφή και την κατείχαν μόνο ειδικοί βασιλικοί αξιωματούχοι, οι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γραφείς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. Μπορούσε να διαβαστεί σε στήλες, από δεξιά προς αριστερά ή το αντίστροφο, ανάλογα με το πού κοιτούσαν οι μορφές.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Η γραφική ύλη που χρησιμοποιούσαν ήταν ο πάπυρος, τυλιγμένος σε κύλινδρο. Το μήκος του μπορεί να έφτανε και τα τέσσερα μέτρα. 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Αποκρυπτογράφηση των ιερογλυφικών έγινε από το Γάλλο επιστήμονα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  <w:lang w:val="en-US"/>
        </w:rPr>
        <w:t>J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.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  <w:lang w:val="en-US"/>
        </w:rPr>
        <w:t>Champollion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, που το 1822 διάβασε το κείμενο της </w:t>
      </w:r>
      <w:r>
        <w:rPr>
          <w:rFonts w:cs="Liberation Serif;Times New Roman" w:ascii="Liberation Serif;Times New Roman" w:hAnsi="Liberation Serif;Times New Roman"/>
          <w:b/>
          <w:bCs/>
          <w:i w:val="false"/>
          <w:iCs/>
          <w:sz w:val="22"/>
          <w:szCs w:val="22"/>
          <w:u w:val="none"/>
        </w:rPr>
        <w:t>στήλης της Ροζέτας,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μιας τρίγλωσσης επιγραφής που υμνούσε τον Πτολεμαίο Ε’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(210-180 π.Χ.)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Επιστήμες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sz w:val="22"/>
          <w:szCs w:val="22"/>
          <w:u w:val="none"/>
        </w:rPr>
        <w:t>Αστρονομία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: χωρισμός του έτους σε 365 ημέρες, μήνες, εβδομάδες, προσδιορισμός της ώρας βάσει της σκιάς του ήλιου.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sz w:val="22"/>
          <w:szCs w:val="22"/>
          <w:u w:val="none"/>
        </w:rPr>
        <w:t>Γεωμετρία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: εφαρμογή της στην κατασκευή πυραμίδων, αλλά και τον υπολογισμό των καλλιεργήσιμων εκτάσεων που χάνονταν από πλημμύρες.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sz w:val="22"/>
          <w:szCs w:val="22"/>
          <w:u w:val="none"/>
        </w:rPr>
        <w:t>Ανατομία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/</w:t>
      </w:r>
      <w:r>
        <w:rPr>
          <w:rFonts w:cs="Liberation Serif;Times New Roman" w:ascii="Liberation Serif;Times New Roman" w:hAnsi="Liberation Serif;Times New Roman"/>
          <w:b w:val="false"/>
          <w:bCs/>
          <w:sz w:val="22"/>
          <w:szCs w:val="22"/>
          <w:u w:val="none"/>
        </w:rPr>
        <w:t>ιατρική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: εφαρμογή της στην ταρίχευση των νεκρών.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</w:rPr>
        <w:t>Τέχνη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Μνημειακού χαρακτήρα,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ογκώδης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και αφιερωμένη στους Φαραώ, των οποίων τα έργα εξυμνεί. 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Πυραμίδ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ες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 του Χέοπα,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Χεφρήνου και Μυκερίνου 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στην Γκίζα, ναοί των Λουξόρ και Καρνάκ, αγάλματα που διακοσμούν ναούς και ταφικά μνημεία. </w:t>
      </w:r>
    </w:p>
    <w:p>
      <w:pPr>
        <w:pStyle w:val="Normal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Έ</w:t>
      </w: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 xml:space="preserve">ργα μικροτεχνίας.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 w:val="false"/>
          <w:b w:val="false"/>
          <w:bCs/>
          <w:i w:val="false"/>
          <w:i w:val="false"/>
          <w:iCs/>
          <w:sz w:val="22"/>
          <w:szCs w:val="22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Palatino Linotype">
    <w:charset w:val="a1"/>
    <w:family w:val="roman"/>
    <w:pitch w:val="variable"/>
  </w:font>
  <w:font w:name="Book Antiqua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 Antiqu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2"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Palatino Linotype" w:hAnsi="Palatino Linotype" w:eastAsia="Times New Roman" w:cs="Palatino Linotype"/>
      <w:b/>
      <w:i/>
      <w:color w:val="auto"/>
      <w:kern w:val="0"/>
      <w:sz w:val="24"/>
      <w:szCs w:val="24"/>
      <w:u w:val="single"/>
      <w:lang w:val="el-GR" w:eastAsia="zh-CN" w:bidi="ar-SA"/>
    </w:rPr>
  </w:style>
  <w:style w:type="character" w:styleId="WW8Num1z0">
    <w:name w:val="WW8Num1z0"/>
    <w:qFormat/>
    <w:rPr>
      <w:rFonts w:ascii="Book Antiqua" w:hAnsi="Book Antiqua" w:cs="Times New Roman"/>
      <w:sz w:val="22"/>
      <w:szCs w:val="22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  <w:sz w:val="22"/>
      <w:szCs w:val="22"/>
    </w:rPr>
  </w:style>
  <w:style w:type="character" w:styleId="ListLabel2">
    <w:name w:val="ListLabel 2"/>
    <w:qFormat/>
    <w:rPr>
      <w:rFonts w:cs="Times New Roman"/>
      <w:sz w:val="22"/>
      <w:szCs w:val="2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LibreOffice/6.0.4.2$Windows_x86 LibreOffice_project/9b0d9b32d5dcda91d2f1a96dc04c645c450872bf</Application>
  <Pages>2</Pages>
  <Words>549</Words>
  <Characters>3132</Characters>
  <CharactersWithSpaces>3707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2013-09-28T14:48:00Z</dcterms:created>
  <dc:creator>Ελενη</dc:creator>
  <dc:description/>
  <dc:language>el-GR</dc:language>
  <cp:lastModifiedBy/>
  <dcterms:modified xsi:type="dcterms:W3CDTF">2024-09-19T17:31:35Z</dcterms:modified>
  <cp:revision>21</cp:revision>
  <dc:subject/>
  <dc:title>Ι</dc:title>
</cp:coreProperties>
</file>