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center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Μ. ΚΩΝΣΤΑΝΤΙΝΟΣ: ΕΚΧΡΙΣΤΙΑΝΙΣΜΟΣ ΚΑΙ ΙΣΧΥΡΟΠΟΙΗΣΗ ΤΗΣ ΡΩΜΑΪΚΗΣ ΑΝΑΤΟΛΗΣ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Η δημιουργία του χριστιανικού ρωμαϊκού κράτους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Το σύστημα της Τετραρχίας δεν έδωσε λύσεις στα προβλήματα / ενίσχυσε τον ανταγωνισμό και τις συγκρούσεις ανάμεσα στους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Αυγούστους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και τους Καίσαρες (305 – 324 μ.Χ.). Από τις συγκρούσεις αυτές νικητής αναδείχτηκε ο Κωνσταντίνος, γιος του Κωνστάντιου, Καίσαρας της Δύσης.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Σημαντικά γεγονότα προς την πλήρη επικράτηση του Κωνσταντίνου:</w:t>
      </w:r>
    </w:p>
    <w:p>
      <w:pPr>
        <w:pStyle w:val="NoSpacing"/>
        <w:numPr>
          <w:ilvl w:val="0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312 μ.Χ.: νικά τον Αύγουστο της Δύσης Μαξέντιο στη Μουλβία γέφυρα.</w:t>
      </w:r>
    </w:p>
    <w:p>
      <w:pPr>
        <w:pStyle w:val="NoSpacing"/>
        <w:numPr>
          <w:ilvl w:val="0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313 μ.Χ.: αποφασίζει μαζί με τον Αύγουστο της Ανατολής Λικίνιο να συνεργαστούν και να μην προσλάβουν Καίσαρες.</w:t>
      </w:r>
    </w:p>
    <w:p>
      <w:pPr>
        <w:pStyle w:val="NoSpacing"/>
        <w:numPr>
          <w:ilvl w:val="0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324 μ.Χ.: Νικά τον Λικίνιο κοντά στην Αδριανούπολη.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Ο Κωνσταντίνος, ως μονοκράτορας, κάνει το πολίτευμά του ακόμα πιο απολυταρχικό:</w:t>
      </w:r>
    </w:p>
    <w:p>
      <w:pPr>
        <w:pStyle w:val="NoSpacing"/>
        <w:numPr>
          <w:ilvl w:val="0"/>
          <w:numId w:val="2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Απρόσιτος στους υπηκόους και στη σύγκλητο.</w:t>
      </w:r>
    </w:p>
    <w:p>
      <w:pPr>
        <w:pStyle w:val="NoSpacing"/>
        <w:numPr>
          <w:ilvl w:val="0"/>
          <w:numId w:val="2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Περιβάλλεται από ανακτορικούς υπαλλήλους και το ανακτορικό συμβούλιο, το οποίο λειτουργεί συμβουλευτικά και μόνο όταν το θέλει ο αυτοκράτορας.</w:t>
      </w:r>
    </w:p>
    <w:p>
      <w:pPr>
        <w:pStyle w:val="NoSpacing"/>
        <w:numPr>
          <w:ilvl w:val="0"/>
          <w:numId w:val="2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Η σύγκλητος μεταφέρεται στην Κωνσταντινούπολη και μετατρέπεται σε τιμητικό σώμα χωρίς εξουσία.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Ζήτημα αυτοκρατορικής λατρείας:</w:t>
      </w:r>
    </w:p>
    <w:p>
      <w:pPr>
        <w:pStyle w:val="NoSpacing"/>
        <w:numPr>
          <w:ilvl w:val="0"/>
          <w:numId w:val="3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Ο αυτοκράτορας δεν είναι πλέον θεός, αλλά ο εκλεκτός του θεού.</w:t>
      </w:r>
    </w:p>
    <w:p>
      <w:pPr>
        <w:pStyle w:val="NoSpacing"/>
        <w:numPr>
          <w:ilvl w:val="0"/>
          <w:numId w:val="3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Διατηρεί τον τίτλο του «Μέγιστου αρχιερέως» αλλά υποστηρίζει το χριστιανισμό, για να ενισχύσει την αυτοκρατορία.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Σχέση Κωνσταντίνου και χριστιανισμού: ένα ζήτημα επιστημονικής σύγκρουσης / πολιτικά ή θρησκευτικά τα κίνητρα του Κωνσταντίνου;</w:t>
      </w:r>
    </w:p>
    <w:p>
      <w:pPr>
        <w:pStyle w:val="NoSpacing"/>
        <w:numPr>
          <w:ilvl w:val="0"/>
          <w:numId w:val="4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Μετά τη νίκη κατά του Μαξέντιου φαίνεται ότι συνειδητά έχει αποδεχτεί το χριστιανισμό.</w:t>
      </w:r>
    </w:p>
    <w:p>
      <w:pPr>
        <w:pStyle w:val="NoSpacing"/>
        <w:numPr>
          <w:ilvl w:val="0"/>
          <w:numId w:val="4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Υιοθετεί το χριστόγραμμα ως σύμβολο στις ασπίδες των στρατιωτών και την αυτοκρατορική σημαία.</w:t>
      </w:r>
    </w:p>
    <w:p>
      <w:pPr>
        <w:pStyle w:val="NoSpacing"/>
        <w:numPr>
          <w:ilvl w:val="0"/>
          <w:numId w:val="4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Διάταγμα των Μεδιολάνων (Διάταγμα της ανεξιθρησκίας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): Το 313 μ.Χ. ο Κωνσταντίνος και ο Λικίνιος καθιερώνουν την απόλυτη ελευθερία στην επιλογή της θρησκείας για τους κατοίκους της αυτοκρατορίας / Παύουν οι διακρίσεις εις βάρος των χριστιανών.</w:t>
      </w:r>
    </w:p>
    <w:p>
      <w:pPr>
        <w:pStyle w:val="NoSpacing"/>
        <w:numPr>
          <w:ilvl w:val="0"/>
          <w:numId w:val="4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Καθιερώνει το θεσμό των Οικουμενικών συνόδων για να προστατεύσει το χριστιανισμό από τις αιρέσεις.</w:t>
      </w:r>
    </w:p>
    <w:p>
      <w:pPr>
        <w:pStyle w:val="NoSpacing"/>
        <w:numPr>
          <w:ilvl w:val="0"/>
          <w:numId w:val="4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Συμβάλλει, με τη μητέρα του, στην οικοδόμηση εκκλησιών.</w:t>
      </w:r>
    </w:p>
    <w:p>
      <w:pPr>
        <w:pStyle w:val="NoSpacing"/>
        <w:numPr>
          <w:ilvl w:val="0"/>
          <w:numId w:val="4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Λίγο πριν πεθάνει βαφτίζεται χριστιανός.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Η ίδρυση της Κωνσταντινούπολης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Ο Κωνσταντίνος μετέφερε το κέντρο της αυτοκρατορίας στην Ανατολή, ώστε να ισχυροποιήσει και να εκχριστιανίσει την αυτοκρατορία.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Ιδρύει τη 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Νέα Ρώμη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, στη θέση του αρχαίου Βυζαντίου / εγκαίνια στις 11 Μαΐου 330 μ.Χ. / η πόλη έμεινε γνωστή ως Κωνσταντίνου-πόλις / Αρχίζει η ιστορία της Ρωμαϊκής αυτοκρατορίας της Ανατολής.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Λόγοι μεταφοράς της πρωτεύουσας:</w:t>
      </w:r>
    </w:p>
    <w:p>
      <w:pPr>
        <w:pStyle w:val="NoSpacing"/>
        <w:numPr>
          <w:ilvl w:val="0"/>
          <w:numId w:val="5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Αντιμετώπιση των βαρβαρικών επιδρομών</w:t>
      </w:r>
    </w:p>
    <w:p>
      <w:pPr>
        <w:pStyle w:val="NoSpacing"/>
        <w:numPr>
          <w:ilvl w:val="0"/>
          <w:numId w:val="5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Η Ρώμη αποτελούσε πόλο έλξης για τους λαούς της Δύσης και ήταν ταυτισμένη με τη ρωμαϊκή παράδοση.</w:t>
      </w:r>
    </w:p>
    <w:p>
      <w:pPr>
        <w:pStyle w:val="NoSpacing"/>
        <w:numPr>
          <w:ilvl w:val="0"/>
          <w:numId w:val="5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Η Νέα Ρώμη βρισκόταν σε προνομιακή θέση γιατί:</w:t>
      </w:r>
    </w:p>
    <w:p>
      <w:pPr>
        <w:pStyle w:val="NoSpacing"/>
        <w:numPr>
          <w:ilvl w:val="1"/>
          <w:numId w:val="5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Εξασφάλιζε καλύτερη άμυνα και οικονομική ανάπτυξη</w:t>
      </w:r>
    </w:p>
    <w:p>
      <w:pPr>
        <w:pStyle w:val="NoSpacing"/>
        <w:numPr>
          <w:ilvl w:val="1"/>
          <w:numId w:val="5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Βρισκόταν σε περιοχή όπου την πλειοψηφία αποτελούσαν οι Έλληνες και οι χριστιανοί.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Με τη μεταφορά της πρωτεύουσας η αυτοκρατορία μετακινείται σταδιακά από το λατινικό στον ελληνικό πολιτιστικό χώρο.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Η αυτοκρατορία της Κωνσταντινούπολης βασίστηκε στη ρωμαϊκή πολιτική παράδοση / τη χριστιανική πίστη / την ελληνική πολιτιστική κληρονομιά.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center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bookmarkStart w:id="0" w:name="__DdeLink__459_3886569966"/>
      <w:bookmarkEnd w:id="0"/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Ο εξελληνισμός του Ανατολικού ρωμαϊκού κράτους 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Μεταφορά πρωτεύουσας στην Ανατολή</w:t>
      </w:r>
      <w:r>
        <w:rPr>
          <w:rFonts w:eastAsia="Segoe UI" w:cs="Segoe UI" w:ascii="Segoe UI" w:hAnsi="Segoe UI"/>
          <w:sz w:val="22"/>
          <w:szCs w:val="22"/>
        </w:rPr>
        <w:t>→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μετεξέλιξη της αυτοκρατορίας βάσει της ρωμαϊκής πολιτικής παράδοσης, της χριστιανικής πίστης και της ελληνικής πολιτιστικής κληρονομιάς.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Βαθμιαίος εξελληνισμός του ανατολικού τμήματος της αυτοκρατορίας. Λόγοι:</w:t>
      </w:r>
    </w:p>
    <w:p>
      <w:pPr>
        <w:pStyle w:val="NoSpacing"/>
        <w:numPr>
          <w:ilvl w:val="0"/>
          <w:numId w:val="6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Πληθυσμιακή υπεροχή του ελληνικού στοιχείου</w:t>
      </w:r>
    </w:p>
    <w:p>
      <w:pPr>
        <w:pStyle w:val="NoSpacing"/>
        <w:numPr>
          <w:ilvl w:val="0"/>
          <w:numId w:val="6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Πολιτιστική παράδοση των ελληνιστικών χρόνων που παραμένει ζωντανή:</w:t>
      </w:r>
    </w:p>
    <w:p>
      <w:pPr>
        <w:pStyle w:val="NoSpacing"/>
        <w:numPr>
          <w:ilvl w:val="1"/>
          <w:numId w:val="6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Η ελληνική παιδεία (φιλοσοφική σκέψη, ρητορεία) καλλιεργείται στις φιλοσοφικές σχολές της Ανατολής (Αλεξάνδρεια, Αντιόχεια, Αθήνα). / ο αυτοκράτορας Ιουλιανός και πολλοί δάσκαλοι και ιεράρχες της εποχής έχουν διαπαιδαγωγηθεί σε αυτές τις σχολές. / κυριαρχεί η σχολή του νεοπλατωνισμού.</w:t>
      </w:r>
    </w:p>
    <w:p>
      <w:pPr>
        <w:pStyle w:val="NoSpacing"/>
        <w:numPr>
          <w:ilvl w:val="0"/>
          <w:numId w:val="6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Διαίρεση της αυτοκρατορίας σε ανατολικό και δυτικό τμήμα, που ξεκίνησε από το Διοκλητιανό, και σταδιακή αυτονόμηση του ανατολικού τμήματος:</w:t>
      </w:r>
    </w:p>
    <w:p>
      <w:pPr>
        <w:pStyle w:val="NoSpacing"/>
        <w:numPr>
          <w:ilvl w:val="1"/>
          <w:numId w:val="6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395 μ.Χ.: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Ο 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Θεοδόσιος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μοίρασε την αυτοκρατορία στους γιους του (Αρκάδιο και Ονώριο), δίνοντας το ανατολικό τμήμα στον πρωτότοκο Αρκάδιο. / Οριστικός πλέον ο χωρισμός της αυτοκρατορίας.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Δυτικό τμήμα της αυτοκρατορίας: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Εισβολή γερμανικών φύλων</w:t>
      </w:r>
      <w:r>
        <w:rPr>
          <w:rFonts w:eastAsia="Segoe UI" w:cs="Segoe UI" w:ascii="Segoe UI" w:hAnsi="Segoe UI"/>
          <w:sz w:val="22"/>
          <w:szCs w:val="22"/>
        </w:rPr>
        <w:t>→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τέλος του ρωμαϊκού κόσμου.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Ανατολικό τμήμα αυτοκρατορίας: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ο κίνδυνος εκγερμανισμού του κράτους αποφεύχθηκε / δημιουργία αντιγερμανικής-αντιγοτθικής κίνησης από λόγιους και πολιτικούς</w:t>
      </w:r>
      <w:r>
        <w:rPr>
          <w:rFonts w:eastAsia="Segoe UI" w:cs="Segoe UI" w:ascii="Segoe UI" w:hAnsi="Segoe UI"/>
          <w:sz w:val="22"/>
          <w:szCs w:val="22"/>
        </w:rPr>
        <w:t>→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επιβίωση και μετεξέλιξη του κράτους στη βυζαντινή του μορφή.</w:t>
      </w:r>
    </w:p>
    <w:p>
      <w:pPr>
        <w:pStyle w:val="NoSpacing"/>
        <w:numPr>
          <w:ilvl w:val="0"/>
          <w:numId w:val="7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Κέντρο πλέον της πνευματικής δραστηριότητας γίνεται η Κωνσταντινούπολη.</w:t>
      </w:r>
    </w:p>
    <w:p>
      <w:pPr>
        <w:pStyle w:val="NoSpacing"/>
        <w:numPr>
          <w:ilvl w:val="0"/>
          <w:numId w:val="7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Ο Θεοδόσιος Β΄ ιδρύσει το 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Πανδιδακτήριο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(425 μ.Χ.). / η διδασκαλία της ελληνικής φιλολογίας και γλώσσας υπερτερεί της λατινικής.</w:t>
      </w:r>
    </w:p>
    <w:p>
      <w:pPr>
        <w:pStyle w:val="NoSpacing"/>
        <w:numPr>
          <w:ilvl w:val="0"/>
          <w:numId w:val="7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eastAsia="Liberation Serif;Times New Roman" w:cs="Liberation Serif;Times New Roman" w:ascii="Liberation Serif;Times New Roman" w:hAnsi="Liberation Serif;Times New Roman"/>
          <w:sz w:val="22"/>
          <w:szCs w:val="22"/>
        </w:rPr>
        <w:t xml:space="preserve">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Αυτοκρατορικά διατάγματα (397 και 439 μ.Χ.) επιτρέπουν τη σύνταξη δικαστικών αποφάσεων και διαθηκών στην ελληνική γλώσσα.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center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Το τέλος του Δυτικού ρωμαϊκού κράτους 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Μέσα 5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  <w:vertAlign w:val="superscript"/>
        </w:rPr>
        <w:t>ου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 αι: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επικρατεί συνεχής αναταραχή: </w:t>
      </w:r>
    </w:p>
    <w:p>
      <w:pPr>
        <w:pStyle w:val="NoSpacing"/>
        <w:numPr>
          <w:ilvl w:val="0"/>
          <w:numId w:val="8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Το κράτος έχει αποδιοργανωθεί</w:t>
      </w:r>
    </w:p>
    <w:p>
      <w:pPr>
        <w:pStyle w:val="NoSpacing"/>
        <w:numPr>
          <w:ilvl w:val="0"/>
          <w:numId w:val="8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Ο στρατός είναι στα χέρια γερμανών μισθοφόρων.</w:t>
      </w:r>
    </w:p>
    <w:p>
      <w:pPr>
        <w:pStyle w:val="NoSpacing"/>
        <w:numPr>
          <w:ilvl w:val="0"/>
          <w:numId w:val="8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Ανίκανοι αυτοκράτορες διατηρούν το θρόνο χάρη: στη συγκατάθεση της Κωνσταντινούπολης, την υποστήριξη των Γερμανών και το σεβασμό των βάρβαρων προς το θεσμό του Ρωμαίου αυτοκράτορα.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476 μ.Χ.: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Ο 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Οδόακρος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, ηγεμόνας των Ερούλων, καθαιρεί τον Ρωμύλο Αυγουστύλο, που δεν είχε την έγκριση της Κωνσταντινούπολης. / Ζητά από τον αυτοκράτορα Ζήνωνα την άδεια να κυβερνήσει τη Δύση εξ ονόματος του αυτοκράτορα. / Ο αυτοκράτορας της Κωνσταντινούπολης τον αναγνώρισε ως διοικητή της Ιταλίας με τον τίτλο του πατρικίου./ Θεωρείται το τέλος του Δυτικού ρωμαϊκού κράτους.      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  <w:bookmarkStart w:id="1" w:name="__DdeLink__459_3886569966"/>
      <w:bookmarkStart w:id="2" w:name="__DdeLink__459_3886569966"/>
      <w:bookmarkEnd w:id="2"/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ourier New">
    <w:charset w:val="a1"/>
    <w:family w:val="modern"/>
    <w:pitch w:val="default"/>
  </w:font>
  <w:font w:name="Wingdings">
    <w:charset w:val="02"/>
    <w:family w:val="auto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a1"/>
    <w:family w:val="swiss"/>
    <w:pitch w:val="variable"/>
  </w:font>
  <w:font w:name="Calibri">
    <w:charset w:val="a1"/>
    <w:family w:val="swiss"/>
    <w:pitch w:val="variable"/>
  </w:font>
  <w:font w:name="Segoe UI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szCs w:val="24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  <w:szCs w:val="24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szCs w:val="24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  <w:szCs w:val="24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89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character" w:styleId="WW8Num132z0">
    <w:name w:val="WW8Num132z0"/>
    <w:qFormat/>
    <w:rPr>
      <w:rFonts w:ascii="Symbol" w:hAnsi="Symbol" w:cs="Symbol"/>
      <w:sz w:val="24"/>
      <w:szCs w:val="24"/>
    </w:rPr>
  </w:style>
  <w:style w:type="character" w:styleId="WW8Num132z1">
    <w:name w:val="WW8Num132z1"/>
    <w:qFormat/>
    <w:rPr>
      <w:rFonts w:ascii="Courier New" w:hAnsi="Courier New" w:cs="Courier New"/>
      <w:sz w:val="24"/>
      <w:szCs w:val="24"/>
    </w:rPr>
  </w:style>
  <w:style w:type="character" w:styleId="WW8Num132z2">
    <w:name w:val="WW8Num132z2"/>
    <w:qFormat/>
    <w:rPr>
      <w:rFonts w:ascii="Wingdings" w:hAnsi="Wingdings" w:cs="Wingdings"/>
    </w:rPr>
  </w:style>
  <w:style w:type="character" w:styleId="WW8Num119z0">
    <w:name w:val="WW8Num119z0"/>
    <w:qFormat/>
    <w:rPr>
      <w:rFonts w:ascii="Symbol" w:hAnsi="Symbol" w:cs="Symbol"/>
    </w:rPr>
  </w:style>
  <w:style w:type="character" w:styleId="WW8Num176z0">
    <w:name w:val="WW8Num176z0"/>
    <w:qFormat/>
    <w:rPr>
      <w:rFonts w:ascii="Symbol" w:hAnsi="Symbol" w:cs="Symbol"/>
    </w:rPr>
  </w:style>
  <w:style w:type="character" w:styleId="WW8Num183z0">
    <w:name w:val="WW8Num183z0"/>
    <w:qFormat/>
    <w:rPr>
      <w:rFonts w:ascii="Symbol" w:hAnsi="Symbol" w:cs="Symbol"/>
      <w:sz w:val="24"/>
      <w:szCs w:val="24"/>
    </w:rPr>
  </w:style>
  <w:style w:type="character" w:styleId="WW8Num99z0">
    <w:name w:val="WW8Num99z0"/>
    <w:qFormat/>
    <w:rPr>
      <w:rFonts w:ascii="Symbol" w:hAnsi="Symbol" w:cs="Symbol"/>
      <w:sz w:val="24"/>
      <w:szCs w:val="24"/>
    </w:rPr>
  </w:style>
  <w:style w:type="character" w:styleId="WW8Num84z0">
    <w:name w:val="WW8Num84z0"/>
    <w:qFormat/>
    <w:rPr>
      <w:rFonts w:ascii="Symbol" w:hAnsi="Symbol" w:cs="Symbol"/>
    </w:rPr>
  </w:style>
  <w:style w:type="character" w:styleId="WW8Num84z1">
    <w:name w:val="WW8Num84z1"/>
    <w:qFormat/>
    <w:rPr>
      <w:rFonts w:ascii="Courier New" w:hAnsi="Courier New" w:cs="Courier New"/>
    </w:rPr>
  </w:style>
  <w:style w:type="character" w:styleId="WW8Num84z2">
    <w:name w:val="WW8Num84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sz w:val="24"/>
      <w:szCs w:val="24"/>
    </w:rPr>
  </w:style>
  <w:style w:type="character" w:styleId="WW8Num3z1">
    <w:name w:val="WW8Num3z1"/>
    <w:qFormat/>
    <w:rPr>
      <w:rFonts w:ascii="Courier New" w:hAnsi="Courier New" w:cs="Courier New"/>
      <w:sz w:val="24"/>
      <w:szCs w:val="24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  <w:sz w:val="24"/>
      <w:szCs w:val="24"/>
    </w:rPr>
  </w:style>
  <w:style w:type="character" w:styleId="WW8Num178z0">
    <w:name w:val="WW8Num178z0"/>
    <w:qFormat/>
    <w:rPr>
      <w:rFonts w:ascii="Symbol" w:hAnsi="Symbol" w:cs="Symbol"/>
    </w:rPr>
  </w:style>
  <w:style w:type="character" w:styleId="WW8Num134z0">
    <w:name w:val="WW8Num134z0"/>
    <w:qFormat/>
    <w:rPr>
      <w:rFonts w:ascii="Liberation Serif;Times New Roman" w:hAnsi="Liberation Serif;Times New Roman" w:cs="Liberation Serif;Times New Roman"/>
      <w:b/>
      <w:sz w:val="24"/>
      <w:szCs w:val="24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</w:pPr>
    <w:rPr>
      <w:rFonts w:ascii="Calibri" w:hAnsi="Calibri" w:eastAsia="Calibri" w:cs="Times New Roman"/>
      <w:color w:val="auto"/>
      <w:kern w:val="2"/>
      <w:sz w:val="22"/>
      <w:szCs w:val="22"/>
      <w:lang w:val="el-GR" w:eastAsia="zh-CN" w:bidi="ar-SA"/>
    </w:rPr>
  </w:style>
  <w:style w:type="numbering" w:styleId="WW8Num132">
    <w:name w:val="WW8Num132"/>
    <w:qFormat/>
  </w:style>
  <w:style w:type="numbering" w:styleId="WW8Num119">
    <w:name w:val="WW8Num119"/>
    <w:qFormat/>
  </w:style>
  <w:style w:type="numbering" w:styleId="WW8Num176">
    <w:name w:val="WW8Num176"/>
    <w:qFormat/>
  </w:style>
  <w:style w:type="numbering" w:styleId="WW8Num183">
    <w:name w:val="WW8Num183"/>
    <w:qFormat/>
  </w:style>
  <w:style w:type="numbering" w:styleId="WW8Num99">
    <w:name w:val="WW8Num99"/>
    <w:qFormat/>
  </w:style>
  <w:style w:type="numbering" w:styleId="WW8Num84">
    <w:name w:val="WW8Num84"/>
    <w:qFormat/>
  </w:style>
  <w:style w:type="numbering" w:styleId="WW8Num3">
    <w:name w:val="WW8Num3"/>
    <w:qFormat/>
  </w:style>
  <w:style w:type="numbering" w:styleId="WW8Num16">
    <w:name w:val="WW8Num16"/>
    <w:qFormat/>
  </w:style>
  <w:style w:type="numbering" w:styleId="WW8Num178">
    <w:name w:val="WW8Num178"/>
    <w:qFormat/>
  </w:style>
  <w:style w:type="numbering" w:styleId="WW8Num134">
    <w:name w:val="WW8Num13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LibreOffice/6.0.4.2$Windows_x86 LibreOffice_project/9b0d9b32d5dcda91d2f1a96dc04c645c450872bf</Application>
  <Pages>3</Pages>
  <Words>762</Words>
  <Characters>4604</Characters>
  <CharactersWithSpaces>5297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2025-04-07T10:17:13Z</dcterms:created>
  <dc:creator/>
  <dc:description/>
  <dc:language>el-GR</dc:language>
  <cp:lastModifiedBy/>
  <dcterms:modified xsi:type="dcterms:W3CDTF">2025-04-07T10:24:13Z</dcterms:modified>
  <cp:revision>2</cp:revision>
  <dc:subject/>
  <dc:title/>
</cp:coreProperties>
</file>