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numPr>
          <w:ilvl w:val="0"/>
          <w:numId w:val="0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ind w:left="786" w:right="0" w:hanging="0"/>
        <w:jc w:val="center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ΕΠΟΧΗ ΤΟΥ ΙΟΥΣΤΙΝΙΑΝΟΥ (6ος αιώνας)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ind w:left="66" w:right="0" w:hanging="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Ιουστινιανος (527-565μ.Χ.)</w:t>
      </w:r>
    </w:p>
    <w:p>
      <w:pPr>
        <w:pStyle w:val="NoSpacing"/>
        <w:numPr>
          <w:ilvl w:val="1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ind w:left="426" w:right="0" w:hanging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ελληνοχριστιανική οικουμένη (σελ. 256-258)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Εσωτερική οργάνωση του κράτους: ο Ιουστινιανός εφάρμοσε καινοτόμες ιδέες </w:t>
      </w:r>
      <w:bookmarkStart w:id="0" w:name="__DdeLink__461_3886569966"/>
      <w:r>
        <w:rPr>
          <w:rFonts w:eastAsia="Segoe UI" w:cs="Segoe UI" w:ascii="Segoe UI" w:hAnsi="Segoe UI"/>
          <w:sz w:val="22"/>
          <w:szCs w:val="22"/>
        </w:rPr>
        <w:t>→</w:t>
      </w:r>
      <w:bookmarkEnd w:id="0"/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διαμόρφωση της βυζαντινής φυσιογνωμίας του κράτους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Στόχος της πολιτικής του Ιουστινιανού: συνοχή των πολλών λαών της αυτοκρατορίας που είχαν ως συνδετικά στοιχεία την ελληνική πολιτιστική παράδοση και τη χριστιανική πίστη</w:t>
      </w:r>
      <w:r>
        <w:rPr>
          <w:rFonts w:eastAsia="Segoe UI" w:cs="Segoe UI" w:ascii="Segoe UI" w:hAnsi="Segoe UI"/>
          <w:sz w:val="22"/>
          <w:szCs w:val="22"/>
        </w:rPr>
        <w:t xml:space="preserve">→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Η ρωμαϊκή οικουμένη μετεξελίχθηκε σε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ελληνοχριστιανική οικουμένη.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Κύρια σημεία εσωτερική πολιτικής Ιουστινιανού: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Ισχυροποίηση της απόλυτης μοναρχίας: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Στάση του Νίκα (532μ.Χ.)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καταστολή από τον Ιουστινιανό =&gt; θεωρητική θεμελίωση της μοναρχίας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ο αυτοκράτορας είναι ο εκλεκτός του θεού, που έχει το προνόμιο να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κ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υβερν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ά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για το καλό των υπηκόων του.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Επιβολή μιας θρησκείας και ενός δόγματος: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Έκλεισε τη νεοπλατωνική σχολή των Αθηνών (529 μ.Χ.), δήμευσε την περιουσία της και αντιμετώπισε σκληρά τα κατάλοιπα των αρχαίων θρησκειών.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Εξόντωσε τις θρησκευτικές μειονότητες / επιεικής στάθηκε μόνο απέναντι στους Εβραίους.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Εκχριστιάνισε γειτονικούς λαούς (Καύκασο, Δούναβη, Νουβία, Σαχάρα)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Οικοδόμησε την Αγία Σοφία.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Κωδικοποίηση του Δικαίου: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η σπουδαιότερη πλευρά της εσωτερικής του πολιτικής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Το κύριο μέρος της νομοθεσίας (Ιουστινιάνειος Κώδικας, Πανδέκτης και Εισηγήσεις) είναι γραμμένο στα λατινικά.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 νέοι νόμοι (Νεαρές) μετά το 534 μ.Χ. γράφονται στα ελληνικά.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κωδικοποίηση έγινε γνωστή το 16</w:t>
      </w:r>
      <w:r>
        <w:rPr>
          <w:rFonts w:cs="Liberation Serif;Times New Roman" w:ascii="Liberation Serif;Times New Roman" w:hAnsi="Liberation Serif;Times New Roman"/>
          <w:sz w:val="22"/>
          <w:szCs w:val="22"/>
          <w:vertAlign w:val="superscript"/>
        </w:rPr>
        <w:t>ο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αι. ως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n-US"/>
        </w:rPr>
        <w:t>Corpus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n-US"/>
        </w:rPr>
        <w:t>juris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n-US"/>
        </w:rPr>
        <w:t>civilis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(αστικό δίκαιο) /αποτέλεσε τη βάση της νομοθεσίας των ευρωπαϊκών κρατών.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Θεμελίωση νέου διοικητικού συστήματος: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Με μια σειρά από Νεαρές παραχωρείται πολιτική εξουσία στους στρατιωτικούς διοικητές των ευάλωτων περιοχών</w:t>
      </w:r>
      <w:r>
        <w:rPr>
          <w:rFonts w:eastAsia="Segoe UI" w:cs="Segoe UI" w:ascii="Segoe UI" w:hAnsi="Segoe UI"/>
          <w:sz w:val="22"/>
          <w:szCs w:val="22"/>
        </w:rPr>
        <w:t>→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Αντιμετωπίζεται η ανάπτυξη της μεγάλης γαιοκτησίας και πλήττονται οι δυνατοί</w:t>
      </w:r>
      <w:r>
        <w:rPr>
          <w:rFonts w:eastAsia="Segoe UI" w:cs="Segoe UI" w:ascii="Segoe UI" w:hAnsi="Segoe UI"/>
          <w:sz w:val="22"/>
          <w:szCs w:val="22"/>
        </w:rPr>
        <w:t>→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Αποτρέπεται ο εκφεουδαρχισμός της αυτοκρατορίας, όπως συνέβη στη Δύση.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  <w:font w:name="Segoe U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1">
      <w:start w:val="2"/>
      <w:numFmt w:val="decimal"/>
      <w:lvlText w:val="%1.%2"/>
      <w:lvlJc w:val="left"/>
      <w:pPr>
        <w:ind w:left="720" w:hanging="36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WW8Num132z0">
    <w:name w:val="WW8Num132z0"/>
    <w:qFormat/>
    <w:rPr>
      <w:rFonts w:ascii="Symbol" w:hAnsi="Symbol" w:cs="Symbol"/>
      <w:sz w:val="24"/>
      <w:szCs w:val="24"/>
    </w:rPr>
  </w:style>
  <w:style w:type="character" w:styleId="WW8Num132z1">
    <w:name w:val="WW8Num132z1"/>
    <w:qFormat/>
    <w:rPr>
      <w:rFonts w:ascii="Courier New" w:hAnsi="Courier New" w:cs="Courier New"/>
      <w:sz w:val="24"/>
      <w:szCs w:val="24"/>
    </w:rPr>
  </w:style>
  <w:style w:type="character" w:styleId="WW8Num132z2">
    <w:name w:val="WW8Num132z2"/>
    <w:qFormat/>
    <w:rPr>
      <w:rFonts w:ascii="Wingdings" w:hAnsi="Wingdings" w:cs="Wingdings"/>
    </w:rPr>
  </w:style>
  <w:style w:type="character" w:styleId="WW8Num134z0">
    <w:name w:val="WW8Num134z0"/>
    <w:qFormat/>
    <w:rPr>
      <w:rFonts w:ascii="Liberation Serif;Times New Roman" w:hAnsi="Liberation Serif;Times New Roman" w:cs="Liberation Serif;Times New Roman"/>
      <w:b/>
      <w:sz w:val="24"/>
      <w:szCs w:val="24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Calibri" w:cs="Times New Roman"/>
      <w:color w:val="auto"/>
      <w:kern w:val="2"/>
      <w:sz w:val="22"/>
      <w:szCs w:val="22"/>
      <w:lang w:val="el-GR" w:eastAsia="zh-CN" w:bidi="ar-SA"/>
    </w:rPr>
  </w:style>
  <w:style w:type="numbering" w:styleId="WW8Num132">
    <w:name w:val="WW8Num132"/>
    <w:qFormat/>
  </w:style>
  <w:style w:type="numbering" w:styleId="WW8Num134">
    <w:name w:val="WW8Num134"/>
    <w:qFormat/>
  </w:style>
  <w:style w:type="numbering" w:styleId="WW8Num3">
    <w:name w:val="WW8Num3"/>
    <w:qFormat/>
  </w:style>
  <w:style w:type="numbering" w:styleId="WW8Num16">
    <w:name w:val="WW8Num16"/>
    <w:qFormat/>
  </w:style>
  <w:style w:type="numbering" w:styleId="WW8Num178">
    <w:name w:val="WW8Num17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LibreOffice/6.0.4.2$Windows_x86 LibreOffice_project/9b0d9b32d5dcda91d2f1a96dc04c645c450872bf</Application>
  <Pages>1</Pages>
  <Words>257</Words>
  <Characters>1574</Characters>
  <CharactersWithSpaces>1797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2025-04-07T10:17:26Z</dcterms:created>
  <dc:creator/>
  <dc:description/>
  <dc:language>el-GR</dc:language>
  <cp:lastModifiedBy/>
  <dcterms:modified xsi:type="dcterms:W3CDTF">2025-04-07T10:26:24Z</dcterms:modified>
  <cp:revision>1</cp:revision>
  <dc:subject/>
  <dc:title/>
</cp:coreProperties>
</file>