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60"/>
        <w:ind w:left="14" w:hanging="0"/>
        <w:jc w:val="both"/>
        <w:rPr>
          <w:sz w:val="22"/>
          <w:szCs w:val="22"/>
        </w:rPr>
      </w:pPr>
      <w:r>
        <w:rPr>
          <w:rFonts w:eastAsia="Times New Roman"/>
          <w:b/>
          <w:bCs/>
          <w:spacing w:val="-3"/>
          <w:sz w:val="22"/>
          <w:szCs w:val="22"/>
        </w:rPr>
        <w:t>ΣΥΣΤΑΣΗ ΕΥΡΩΠΑΪΚΩΝ ΚΟΙΝΟΤΗΤΩΝ &amp; ΕΥΡΩΠΑΪΚΗ ΕΝΩΣΗ</w:t>
      </w:r>
    </w:p>
    <w:p>
      <w:pPr>
        <w:pStyle w:val="Normal"/>
        <w:shd w:val="clear" w:color="auto" w:fill="FFFFFF"/>
        <w:spacing w:lineRule="auto" w:line="360"/>
        <w:ind w:left="14" w:hanging="0"/>
        <w:jc w:val="both"/>
        <w:rPr>
          <w:rFonts w:eastAsia="Times New Roman"/>
          <w:b/>
          <w:b/>
          <w:bCs/>
          <w:spacing w:val="-3"/>
        </w:rPr>
      </w:pPr>
      <w:r>
        <w:rPr>
          <w:sz w:val="22"/>
          <w:szCs w:val="22"/>
        </w:rPr>
      </w:r>
    </w:p>
    <w:p>
      <w:pPr>
        <w:pStyle w:val="Normal"/>
        <w:shd w:val="clear" w:color="auto" w:fill="FFFFFF"/>
        <w:spacing w:lineRule="auto" w:line="360"/>
        <w:ind w:left="14" w:hanging="0"/>
        <w:jc w:val="both"/>
        <w:rPr>
          <w:sz w:val="22"/>
          <w:szCs w:val="22"/>
        </w:rPr>
      </w:pPr>
      <w:r>
        <w:rPr>
          <w:rFonts w:eastAsia="Times New Roman"/>
          <w:b/>
          <w:bCs/>
          <w:spacing w:val="-3"/>
          <w:sz w:val="22"/>
          <w:szCs w:val="22"/>
        </w:rPr>
        <w:t>Η σύσταση των Ευρωπαϊκών Κοινοτήτων</w:t>
      </w:r>
    </w:p>
    <w:p>
      <w:pPr>
        <w:pStyle w:val="Normal"/>
        <w:shd w:val="clear" w:color="auto" w:fill="FFFFFF"/>
        <w:spacing w:lineRule="auto" w:line="360"/>
        <w:ind w:left="14" w:hanging="0"/>
        <w:jc w:val="both"/>
        <w:rPr>
          <w:rFonts w:eastAsia="Times New Roman"/>
          <w:b/>
          <w:b/>
          <w:bCs/>
          <w:spacing w:val="-3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288" w:leader="none"/>
        </w:tabs>
        <w:spacing w:lineRule="auto" w:line="360"/>
        <w:ind w:left="173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Μάιος </w:t>
      </w:r>
      <w:r>
        <w:rPr>
          <w:rFonts w:eastAsia="Times New Roman"/>
          <w:b/>
          <w:bCs/>
          <w:sz w:val="22"/>
          <w:szCs w:val="22"/>
        </w:rPr>
        <w:t>1950</w:t>
      </w:r>
      <w:r>
        <w:rPr>
          <w:rFonts w:eastAsia="Times New Roman"/>
          <w:sz w:val="22"/>
          <w:szCs w:val="22"/>
        </w:rPr>
        <w:t xml:space="preserve">: Έναρξη </w:t>
      </w:r>
      <w:r>
        <w:rPr>
          <w:rFonts w:eastAsia="Times New Roman"/>
          <w:sz w:val="22"/>
          <w:szCs w:val="22"/>
        </w:rPr>
        <w:t xml:space="preserve">ΤΗς </w:t>
      </w:r>
      <w:r>
        <w:rPr>
          <w:rFonts w:eastAsia="Times New Roman"/>
          <w:sz w:val="22"/>
          <w:szCs w:val="22"/>
        </w:rPr>
        <w:t xml:space="preserve">διαδικασίας ευρωπαϊκής ολοκλήρωσης: </w:t>
      </w:r>
      <w:r>
        <w:rPr>
          <w:rFonts w:eastAsia="Times New Roman"/>
          <w:sz w:val="22"/>
          <w:szCs w:val="22"/>
        </w:rPr>
        <w:t xml:space="preserve">ο </w:t>
      </w:r>
      <w:r>
        <w:rPr>
          <w:rFonts w:eastAsia="Times New Roman"/>
          <w:sz w:val="22"/>
          <w:szCs w:val="22"/>
        </w:rPr>
        <w:t>Γάλλος υπουργός Εξωτερικών Ρομπέρ Σουμάν προτείνει σχέδιο του Ζαν Μονέ. Το</w:t>
      </w:r>
      <w:r>
        <w:rPr>
          <w:rFonts w:eastAsia="Times New Roman"/>
          <w:sz w:val="22"/>
          <w:szCs w:val="22"/>
        </w:rPr>
        <w:t xml:space="preserve"> σ</w:t>
      </w:r>
      <w:r>
        <w:rPr>
          <w:rFonts w:eastAsia="Times New Roman"/>
          <w:sz w:val="22"/>
          <w:szCs w:val="22"/>
        </w:rPr>
        <w:t xml:space="preserve">χέδιο Σουμάν προβλέπει </w:t>
      </w:r>
      <w:r>
        <w:rPr>
          <w:rFonts w:eastAsia="Times New Roman"/>
          <w:sz w:val="22"/>
          <w:szCs w:val="22"/>
        </w:rPr>
        <w:t>τη δ</w:t>
      </w:r>
      <w:r>
        <w:rPr>
          <w:rFonts w:eastAsia="Times New Roman"/>
          <w:sz w:val="22"/>
          <w:szCs w:val="22"/>
        </w:rPr>
        <w:t xml:space="preserve">ημιουργία μίας Ανώτατης Αρχής που θα </w:t>
      </w:r>
      <w:r>
        <w:rPr>
          <w:rFonts w:eastAsia="Times New Roman"/>
          <w:sz w:val="22"/>
          <w:szCs w:val="22"/>
        </w:rPr>
        <w:t>έ</w:t>
      </w:r>
      <w:r>
        <w:rPr>
          <w:rFonts w:eastAsia="Times New Roman"/>
          <w:sz w:val="22"/>
          <w:szCs w:val="22"/>
        </w:rPr>
        <w:t xml:space="preserve">λεγχε βιομηχανίες άνθρακα και χάλυβα Γαλλίας, Δυτικής Γερμανίας και άλλων χωρών. </w:t>
      </w:r>
      <w:r>
        <w:rPr>
          <w:rFonts w:eastAsia="Times New Roman"/>
          <w:sz w:val="22"/>
          <w:szCs w:val="22"/>
        </w:rPr>
        <w:t>Την π</w:t>
      </w:r>
      <w:r>
        <w:rPr>
          <w:rFonts w:eastAsia="Times New Roman"/>
          <w:sz w:val="22"/>
          <w:szCs w:val="22"/>
        </w:rPr>
        <w:t xml:space="preserve">ρόταση αποδέχτηκαν </w:t>
      </w:r>
      <w:r>
        <w:rPr>
          <w:rFonts w:eastAsia="Times New Roman"/>
          <w:sz w:val="22"/>
          <w:szCs w:val="22"/>
        </w:rPr>
        <w:t xml:space="preserve">η </w:t>
      </w:r>
      <w:r>
        <w:rPr>
          <w:rFonts w:eastAsia="Times New Roman"/>
          <w:sz w:val="22"/>
          <w:szCs w:val="22"/>
        </w:rPr>
        <w:t xml:space="preserve">Δυτική Γερμανία, </w:t>
      </w:r>
      <w:r>
        <w:rPr>
          <w:rFonts w:eastAsia="Times New Roman"/>
          <w:sz w:val="22"/>
          <w:szCs w:val="22"/>
        </w:rPr>
        <w:t xml:space="preserve">η </w:t>
      </w:r>
      <w:r>
        <w:rPr>
          <w:rFonts w:eastAsia="Times New Roman"/>
          <w:sz w:val="22"/>
          <w:szCs w:val="22"/>
        </w:rPr>
        <w:t xml:space="preserve">Ιταλία και </w:t>
      </w:r>
      <w:r>
        <w:rPr>
          <w:rFonts w:eastAsia="Times New Roman"/>
          <w:sz w:val="22"/>
          <w:szCs w:val="22"/>
        </w:rPr>
        <w:t xml:space="preserve">οι </w:t>
      </w:r>
      <w:r>
        <w:rPr>
          <w:rFonts w:eastAsia="Times New Roman"/>
          <w:sz w:val="22"/>
          <w:szCs w:val="22"/>
        </w:rPr>
        <w:t>χώρες Μπενελούξ (Βέλγιο, Ολλα</w:t>
      </w:r>
      <w:r>
        <w:rPr>
          <w:rFonts w:eastAsia="Times New Roman"/>
          <w:sz w:val="22"/>
          <w:szCs w:val="22"/>
        </w:rPr>
        <w:t>ν</w:t>
      </w:r>
      <w:r>
        <w:rPr>
          <w:rFonts w:eastAsia="Times New Roman"/>
          <w:sz w:val="22"/>
          <w:szCs w:val="22"/>
        </w:rPr>
        <w:t>δία, Λουξεμβούργο).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288" w:leader="none"/>
        </w:tabs>
        <w:spacing w:lineRule="auto" w:line="360"/>
        <w:ind w:left="173" w:hanging="0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1952</w:t>
      </w:r>
      <w:r>
        <w:rPr>
          <w:rFonts w:eastAsia="Times New Roman"/>
          <w:sz w:val="22"/>
          <w:szCs w:val="22"/>
        </w:rPr>
        <w:t>: Σύσταση Ευρωπαϊκής Κοινότητας Άνθρακα και Χάλυβα (ΕΚΑΧ)</w:t>
      </w:r>
      <w:r>
        <w:rPr>
          <w:rFonts w:eastAsia="Liberation Serif" w:cs="Liberation Serif" w:ascii="Liberation Serif" w:hAnsi="Liberation Serif"/>
          <w:sz w:val="22"/>
          <w:szCs w:val="22"/>
        </w:rPr>
        <w:t>→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Ενοποίηση του</w:t>
      </w:r>
      <w:r>
        <w:rPr>
          <w:rFonts w:eastAsia="Times New Roman"/>
          <w:sz w:val="22"/>
          <w:szCs w:val="22"/>
        </w:rPr>
        <w:t xml:space="preserve"> πυρήνα ευρωπαϊκής βαριάς βιομηχανίας </w:t>
      </w:r>
      <w:r>
        <w:rPr>
          <w:rFonts w:eastAsia="Times New Roman"/>
          <w:sz w:val="22"/>
          <w:szCs w:val="22"/>
        </w:rPr>
        <w:t>και έλεγχος</w:t>
      </w:r>
      <w:r>
        <w:rPr>
          <w:rFonts w:eastAsia="Times New Roman"/>
          <w:sz w:val="22"/>
          <w:szCs w:val="22"/>
        </w:rPr>
        <w:t xml:space="preserve"> από υπερεθνική αρχή (υπερεθνικότητα).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288" w:leader="none"/>
        </w:tabs>
        <w:spacing w:lineRule="auto" w:line="360"/>
        <w:ind w:left="288" w:right="7" w:hanging="115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Υπερεθνικότητα: Δυνατότητα ΕΚΑΧ (και άλλων Κοινοτήτων και σημερινής Ευρωπαϊκής Ένωσης) λήψης αποφάσεων δεσμευτικών για κράτη-μέλη· είναι το στοιχείο που διαφοροποιεί διαδικασία ευρωπαϊκής ενοποίησης από άλλους διεθνείς οργανισμούς.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17" w:leader="none"/>
        </w:tabs>
        <w:spacing w:lineRule="auto" w:line="360"/>
        <w:ind w:left="173" w:hanging="0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1954</w:t>
      </w:r>
      <w:r>
        <w:rPr>
          <w:rFonts w:eastAsia="Times New Roman"/>
          <w:sz w:val="22"/>
          <w:szCs w:val="22"/>
        </w:rPr>
        <w:t>. Αποτυγχάνει νέα προσπάθεια για δημιουργία Ευρωπαϊκής Αμυντικής Κοινότητας.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17" w:leader="none"/>
        </w:tabs>
        <w:spacing w:lineRule="auto" w:line="360"/>
        <w:ind w:left="173" w:hanging="0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1955-56</w:t>
      </w:r>
      <w:r>
        <w:rPr>
          <w:rFonts w:eastAsia="Times New Roman"/>
          <w:sz w:val="22"/>
          <w:szCs w:val="22"/>
        </w:rPr>
        <w:t xml:space="preserve">. Συστήνεται επιτροπή, υπό προεδρία Βέλγου πολιτικού Πωλ-Ανρύ Σπάακ, για δημιουργία μίας ευρωπαϊκής κοινής αγοράς. </w:t>
      </w:r>
      <w:r>
        <w:rPr>
          <w:rFonts w:eastAsia="Times New Roman"/>
          <w:sz w:val="22"/>
          <w:szCs w:val="22"/>
        </w:rPr>
        <w:t xml:space="preserve">Η </w:t>
      </w:r>
      <w:r>
        <w:rPr>
          <w:rFonts w:eastAsia="Times New Roman"/>
          <w:sz w:val="22"/>
          <w:szCs w:val="22"/>
        </w:rPr>
        <w:t xml:space="preserve">Επιτροπή Σπάακ πετυχαίνει την υπογραφή της Συνθήκης της Ρώμης, που ίδρυε την Ευρωπαϊκή Οικονομική Κοινότητα (ΕΟΚ). Προβλέπει βασικές ελευθερίες στη διακίνηση προϊόντων, κεφαλαίων και ατόμων </w:t>
      </w:r>
      <w:r>
        <w:rPr>
          <w:rFonts w:eastAsia="Times New Roman"/>
          <w:sz w:val="22"/>
          <w:szCs w:val="22"/>
        </w:rPr>
        <w:t xml:space="preserve">και </w:t>
      </w:r>
      <w:r>
        <w:rPr>
          <w:rFonts w:eastAsia="Times New Roman"/>
          <w:sz w:val="22"/>
          <w:szCs w:val="22"/>
        </w:rPr>
        <w:t>κάνει ρητή αναφορά σε μία "διαρκώς στενότερη ένωση" των ευρωπαϊκών λαών.Η ΕΟΚ σημείωσε μεγάλη οικονομική επιτυχία από τα πρώτα χρόνια της ζωής της.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17" w:leader="none"/>
        </w:tabs>
        <w:spacing w:lineRule="auto" w:line="360"/>
        <w:ind w:left="173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Ιδρύθηκε επίσης η Ευρωπαϊκή Κοινότητα Ατομικής Ενέργειας (ΕΚΑΕ ή Ευρατόμ).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17" w:leader="none"/>
        </w:tabs>
        <w:spacing w:lineRule="auto" w:line="360"/>
        <w:ind w:left="317" w:right="14" w:hanging="14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Στην ΕΟΚ προσχωρούν: 1973 Βρετανία, Ιρλανδία και Δανία ("βόρεια διεύρυνση"), </w:t>
      </w:r>
      <w:r>
        <w:rPr>
          <w:rFonts w:eastAsia="Times New Roman"/>
          <w:b/>
          <w:bCs/>
          <w:sz w:val="22"/>
          <w:szCs w:val="22"/>
        </w:rPr>
        <w:t>1981</w:t>
      </w:r>
      <w:r>
        <w:rPr>
          <w:rFonts w:eastAsia="Times New Roman"/>
          <w:sz w:val="22"/>
          <w:szCs w:val="22"/>
        </w:rPr>
        <w:t xml:space="preserve"> Ελλάδα, 1986 Ισπανία και Πορτογαλία ("νότια διεύρυνση").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17" w:leader="none"/>
        </w:tabs>
        <w:spacing w:lineRule="auto" w:line="360"/>
        <w:ind w:left="317" w:right="14" w:hanging="144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1985</w:t>
      </w:r>
      <w:r>
        <w:rPr>
          <w:rFonts w:eastAsia="Times New Roman"/>
          <w:sz w:val="22"/>
          <w:szCs w:val="22"/>
        </w:rPr>
        <w:t>. Έγκριση Ενιαίας Ευρωπαϊκής Πράξης. Σημαντικό βήμα για προώθηση ενοποίησης. Προέβλεπε στενότερη οικονομική και πολιτική ενότητα.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17" w:leader="none"/>
        </w:tabs>
        <w:spacing w:lineRule="auto" w:line="360"/>
        <w:ind w:left="893" w:right="14" w:hanging="0"/>
        <w:jc w:val="both"/>
        <w:rPr>
          <w:rFonts w:eastAsia="Times New Roman"/>
        </w:rPr>
      </w:pPr>
      <w:r>
        <w:rPr>
          <w:sz w:val="22"/>
          <w:szCs w:val="22"/>
        </w:rPr>
      </w:r>
    </w:p>
    <w:p>
      <w:pPr>
        <w:pStyle w:val="Normal"/>
        <w:shd w:val="clear" w:color="auto" w:fill="FFFFFF"/>
        <w:spacing w:lineRule="auto" w:line="360"/>
        <w:jc w:val="both"/>
        <w:rPr>
          <w:sz w:val="22"/>
          <w:szCs w:val="22"/>
        </w:rPr>
      </w:pPr>
      <w:r>
        <w:rPr>
          <w:rFonts w:eastAsia="Times New Roman"/>
          <w:b/>
          <w:bCs/>
          <w:spacing w:val="-1"/>
          <w:sz w:val="22"/>
          <w:szCs w:val="22"/>
        </w:rPr>
        <w:t>Η Ευρωπαϊκή Ένωση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17" w:leader="none"/>
        </w:tabs>
        <w:spacing w:lineRule="auto" w:line="360"/>
        <w:ind w:left="720" w:right="7" w:hanging="0"/>
        <w:jc w:val="both"/>
        <w:rPr>
          <w:rFonts w:eastAsia="Times New Roman"/>
          <w:b/>
          <w:b/>
          <w:bCs/>
          <w:spacing w:val="-1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17" w:leader="none"/>
        </w:tabs>
        <w:spacing w:lineRule="auto" w:line="360"/>
        <w:ind w:left="720" w:right="7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Μετά </w:t>
      </w:r>
      <w:r>
        <w:rPr>
          <w:rFonts w:eastAsia="Times New Roman"/>
          <w:sz w:val="22"/>
          <w:szCs w:val="22"/>
        </w:rPr>
        <w:t xml:space="preserve">τη </w:t>
      </w:r>
      <w:r>
        <w:rPr>
          <w:rFonts w:eastAsia="Times New Roman"/>
          <w:sz w:val="22"/>
          <w:szCs w:val="22"/>
        </w:rPr>
        <w:t xml:space="preserve">λήξη </w:t>
      </w:r>
      <w:r>
        <w:rPr>
          <w:rFonts w:eastAsia="Times New Roman"/>
          <w:sz w:val="22"/>
          <w:szCs w:val="22"/>
        </w:rPr>
        <w:t xml:space="preserve">του </w:t>
      </w:r>
      <w:r>
        <w:rPr>
          <w:rFonts w:eastAsia="Times New Roman"/>
          <w:sz w:val="22"/>
          <w:szCs w:val="22"/>
        </w:rPr>
        <w:t xml:space="preserve">Ψυχρού Πολέμου, </w:t>
      </w:r>
      <w:r>
        <w:rPr>
          <w:rFonts w:eastAsia="Times New Roman"/>
          <w:sz w:val="22"/>
          <w:szCs w:val="22"/>
        </w:rPr>
        <w:t>ν</w:t>
      </w:r>
      <w:r>
        <w:rPr>
          <w:rFonts w:eastAsia="Times New Roman"/>
          <w:sz w:val="22"/>
          <w:szCs w:val="22"/>
        </w:rPr>
        <w:t>έες προσπάθειες για εμβάθυνση και διεύρυνση ευρωπαϊκής ενοποιήσεως: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17" w:leader="none"/>
        </w:tabs>
        <w:spacing w:lineRule="auto" w:line="360"/>
        <w:ind w:left="317" w:right="7" w:hanging="144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1992</w:t>
      </w:r>
      <w:r>
        <w:rPr>
          <w:rFonts w:eastAsia="Times New Roman"/>
          <w:sz w:val="22"/>
          <w:szCs w:val="22"/>
        </w:rPr>
        <w:t xml:space="preserve">. Συνθήκη του Μάαστριχτ: Από Ευρωπαϊκές Κοινότητες </w:t>
      </w:r>
      <w:r>
        <w:rPr>
          <w:rFonts w:eastAsia="Liberation Serif" w:cs="Liberation Serif" w:ascii="Liberation Serif" w:hAnsi="Liberation Serif"/>
          <w:sz w:val="22"/>
          <w:szCs w:val="22"/>
        </w:rPr>
        <w:t>→</w:t>
      </w:r>
      <w:r>
        <w:rPr>
          <w:rFonts w:eastAsia="Times New Roman"/>
          <w:sz w:val="22"/>
          <w:szCs w:val="22"/>
        </w:rPr>
        <w:t xml:space="preserve"> Ευρωπαϊκή Ένωση (Ε.Ε.) -Σύσταση Οικονομικής και Νομισματικής Ένωσης της Ευρώπης (ΟΝΕ), με υιοθέτηση κοινού νομίσματος.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17" w:leader="none"/>
        </w:tabs>
        <w:spacing w:lineRule="auto" w:line="360"/>
        <w:ind w:left="173" w:hanging="0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1994</w:t>
      </w:r>
      <w:r>
        <w:rPr>
          <w:rFonts w:eastAsia="Times New Roman"/>
          <w:sz w:val="22"/>
          <w:szCs w:val="22"/>
        </w:rPr>
        <w:t>. Νέα μέλη Ευρωπαϊκής Ένωσης: Σουηδία, Φινλανδία, Αυστρία.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17" w:leader="none"/>
        </w:tabs>
        <w:spacing w:lineRule="auto" w:line="360" w:before="7" w:after="0"/>
        <w:ind w:left="317" w:hanging="14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Επιμέρους αλλαγές στην εσωτερική λειτουργία ΕΕ (Συνθήκες Άμστερνταμ, 1997, και Νίκαιας, 1999).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17" w:leader="none"/>
        </w:tabs>
        <w:spacing w:lineRule="auto" w:line="360"/>
        <w:ind w:left="173" w:hanging="0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2001</w:t>
      </w:r>
      <w:r>
        <w:rPr>
          <w:rFonts w:eastAsia="Times New Roman"/>
          <w:sz w:val="22"/>
          <w:szCs w:val="22"/>
        </w:rPr>
        <w:t>. Ισχύς κοινού ευρωπαϊκού νομίσματος, του Ευρώ.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17" w:leader="none"/>
        </w:tabs>
        <w:spacing w:lineRule="auto" w:line="360"/>
        <w:ind w:left="173" w:hanging="0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2004</w:t>
      </w:r>
      <w:r>
        <w:rPr>
          <w:rFonts w:eastAsia="Times New Roman"/>
          <w:sz w:val="22"/>
          <w:szCs w:val="22"/>
        </w:rPr>
        <w:t>. 10 νέα μέλη ΕΕ: κυρίως από χώρο παλαιάς Αν. Ευρώπης, και η Κύπρος.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17" w:leader="none"/>
        </w:tabs>
        <w:spacing w:lineRule="auto" w:line="360"/>
        <w:ind w:left="317" w:right="7" w:hanging="14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ΕΕ και αρχή </w:t>
      </w:r>
      <w:r>
        <w:rPr>
          <w:rFonts w:eastAsia="Times New Roman"/>
          <w:sz w:val="22"/>
          <w:szCs w:val="22"/>
        </w:rPr>
        <w:t>υ</w:t>
      </w:r>
      <w:r>
        <w:rPr>
          <w:rFonts w:eastAsia="Times New Roman"/>
          <w:sz w:val="22"/>
          <w:szCs w:val="22"/>
        </w:rPr>
        <w:t>περεθνικότητας σηματοδοτούν μία επανάσταση στις διεθνείς σχέσεις, καθώς και μία ελπιδοφόρα αλλαγή του ρου της ευρωπαϊκής ιστορίας, μακριά από τις εθνικιστικές αντιπαλότητες του παρελθόντος και προς την κατεύθυνση της ενότητας.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17" w:leader="none"/>
        </w:tabs>
        <w:spacing w:lineRule="auto" w:line="360"/>
        <w:ind w:left="317" w:right="7" w:hanging="14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Η ενοποιητική διαδικασία Ευρώπης κατοχυρώνει τη δημοκρατία, επεκτείνει το πεδίο εφαρμογής των ανθρωπίνων δικαιωμάτων, επιτρέπει την άμβλυνση των περιφερειακών ανισοτήτων και δίνει στην Ευρώπη μία αυξημένη επιρροή στις διεθνείς σχέσεις.</w:t>
      </w:r>
    </w:p>
    <w:p>
      <w:pPr>
        <w:pStyle w:val="Normal"/>
        <w:shd w:val="clear" w:color="auto" w:fill="FFFFFF"/>
        <w:spacing w:lineRule="auto" w:line="360"/>
        <w:ind w:left="0" w:right="0" w:hanging="0"/>
        <w:jc w:val="both"/>
        <w:rPr>
          <w:rFonts w:eastAsia="Times New Roman"/>
        </w:rPr>
      </w:pPr>
      <w:r>
        <w:rPr>
          <w:sz w:val="22"/>
          <w:szCs w:val="22"/>
        </w:rPr>
      </w:r>
    </w:p>
    <w:sectPr>
      <w:type w:val="nextPage"/>
      <w:pgSz w:w="11906" w:h="16838"/>
      <w:pgMar w:left="1340" w:right="1216" w:header="0" w:top="1440" w:footer="0" w:bottom="720" w:gutter="0"/>
      <w:pgNumType w:fmt="decimal"/>
      <w:formProt w:val="false"/>
      <w:textDirection w:val="lrTb"/>
      <w:docGrid w:type="default" w:linePitch="10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l-G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LibreOffice/6.0.4.2$Windows_x86 LibreOffice_project/9b0d9b32d5dcda91d2f1a96dc04c645c450872bf</Application>
  <Pages>2</Pages>
  <Words>393</Words>
  <Characters>2465</Characters>
  <CharactersWithSpaces>2821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2025-04-29T19:37:11Z</dcterms:created>
  <dc:creator/>
  <dc:description/>
  <dc:language>el-GR</dc:language>
  <cp:lastModifiedBy/>
  <dcterms:modified xsi:type="dcterms:W3CDTF">2025-04-29T19:43:48Z</dcterms:modified>
  <cp:revision>1</cp:revision>
  <dc:subject/>
  <dc:title/>
</cp:coreProperties>
</file>