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A" w:rsidRPr="001A33EA" w:rsidRDefault="001A33EA" w:rsidP="001A33EA">
      <w:pPr>
        <w:pStyle w:val="6"/>
        <w:rPr>
          <w:rFonts w:ascii="Tahoma" w:hAnsi="Tahoma" w:cs="Tahoma"/>
          <w:color w:val="000000"/>
          <w:sz w:val="24"/>
          <w:szCs w:val="24"/>
        </w:rPr>
      </w:pPr>
      <w:r w:rsidRPr="001A33EA">
        <w:rPr>
          <w:rFonts w:ascii="Tahoma" w:hAnsi="Tahoma" w:cs="Tahoma"/>
          <w:color w:val="000000"/>
          <w:sz w:val="24"/>
          <w:szCs w:val="24"/>
        </w:rPr>
        <w:t>ΔΙΑΙΡΕΣΗ ΦΩΝΗΕΝΤΩΝ ΚΑΙ ΣΥΜΦΩΝΩΝ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αρχαία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ελληνική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γλώσσα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έχει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φωνήεντα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σύμφωνα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όπως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ελληνική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Όμως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αρχαία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δεν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προφέρονταν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βάση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τόνο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όπως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ελληνικά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αλλά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ανάλογα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 την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ποσότητα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της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συλλαβής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δηλαδή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μακρότητα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ή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βραχύτητά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της, 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λεγόμενη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προσωδία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Έτσι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πολύ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σημαντικό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να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μάθουμε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ποια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φωνήεντα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ποια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ποια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δίχρονα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δίχρονα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άλλοτε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λογίζονται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ως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άλλοτε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ως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)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  <w:r w:rsidRPr="001A33EA">
        <w:rPr>
          <w:rFonts w:ascii="Tahoma" w:hAnsi="Tahoma" w:cs="Tahoma"/>
          <w:b/>
          <w:sz w:val="24"/>
          <w:szCs w:val="24"/>
          <w:lang w:val="el-GR"/>
        </w:rPr>
        <w:t>ΦΩΝΗΕΝΤΑ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: η, ω.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: ε, ο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Δίχρονα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: α, ι, υ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σύμφωνα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χωρίζονται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σε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άφωνα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ημίφωνα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διπλά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ανάλογα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πόσο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ήχο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βγάζουν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άφωνα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ημίφωνα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χωρίζονται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ανάλογα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σημείο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στόματος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 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βοήθεια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οποίου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προφέρονται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Επίσης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χωρίζονται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σύμφωνα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ανάλογα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 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δασύτητά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τους σε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ψιλά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μέσα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δασέα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Σχηματικά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λοιπόν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έχουμε</w:t>
      </w:r>
      <w:proofErr w:type="spellEnd"/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  <w:r w:rsidRPr="001A33EA">
        <w:rPr>
          <w:rFonts w:ascii="Tahoma" w:hAnsi="Tahoma" w:cs="Tahoma"/>
          <w:b/>
          <w:sz w:val="24"/>
          <w:szCs w:val="24"/>
          <w:lang w:val="el-GR"/>
        </w:rPr>
        <w:t>ΣΥΜΦΩΝΑ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     </w:t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ψιλά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  <w:t>μέσα</w:t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δασέα</w:t>
      </w:r>
      <w:proofErr w:type="spellEnd"/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ουρανικά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κ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γ            χ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άφωνα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        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χειλικά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π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β            φ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οδοντικά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τ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δ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 θ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υγρά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          λ,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  ρ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σύμφωνα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ημίφωνα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ένρινα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   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μ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  ν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συριστικό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σ</w:t>
      </w:r>
      <w:r w:rsidRPr="001A33EA">
        <w:rPr>
          <w:rFonts w:ascii="Tahoma" w:hAnsi="Tahoma" w:cs="Tahoma"/>
          <w:sz w:val="24"/>
          <w:szCs w:val="24"/>
          <w:lang w:val="el-GR"/>
        </w:rPr>
        <w:tab/>
        <w:t xml:space="preserve">       (ς)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διπλά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ab/>
      </w:r>
      <w:r w:rsidRPr="001A33EA">
        <w:rPr>
          <w:rFonts w:ascii="Tahoma" w:hAnsi="Tahoma" w:cs="Tahoma"/>
          <w:sz w:val="24"/>
          <w:szCs w:val="24"/>
          <w:lang w:val="el-GR"/>
        </w:rPr>
        <w:tab/>
        <w:t>ζ, ξ, ψ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lastRenderedPageBreak/>
        <w:t>Υπήρχε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επίσης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ακόμη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γράμμα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δίγαμμα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προφερόταν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όπως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στή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λέξη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αύριο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ένας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άλλος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φθόγγος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γιότ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προφερόταν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όπως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ι στη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λέξη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παιδιά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Για να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δηλώσουμε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ένα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δίχρονο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βραχύ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σημειώνουμε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από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πάνω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του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σημάδι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ῐ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ενώ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αν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σημάδι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ᾱ. 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  <w:r w:rsidRPr="001A33EA">
        <w:rPr>
          <w:rFonts w:ascii="Tahoma" w:hAnsi="Tahoma" w:cs="Tahoma"/>
          <w:b/>
          <w:sz w:val="24"/>
          <w:szCs w:val="24"/>
          <w:lang w:val="el-GR"/>
        </w:rPr>
        <w:t>ΔΙΦΘΟΓΓΟΙ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αρχαία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ελληνική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έχει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ζευγάρια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φωνηέντων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προφέρονται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χρόνο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μιας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συλλαβής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λέγονται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δίφθογγοι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Αυτοί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: 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Κύριοι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αι, οι, ει, υι,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αυ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ευ,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ηυ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, ου.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Καταχρηστικοί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 ᾳ, ῃ, ῳ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Στους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καταχρηστικούς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διφθόγγους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δεύτερο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φωνήεν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γράφεται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κάτω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από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πρώτο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ονομάζεται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υπογεγραμμένη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δίφθογγοι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γενικά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εκτός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από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κάποιες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περιπτώσεις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που θα τις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μάθουμε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στους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κανόνες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τονισμού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  <w:r w:rsidRPr="001A33EA">
        <w:rPr>
          <w:rFonts w:ascii="Tahoma" w:hAnsi="Tahoma" w:cs="Tahoma"/>
          <w:b/>
          <w:sz w:val="24"/>
          <w:szCs w:val="24"/>
          <w:lang w:val="el-GR"/>
        </w:rPr>
        <w:t>ΤΟΝΟΙ ΚΑΙ ΠΝΕΥΜΑΤΑ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Στην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ελληνιστική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εποχή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καθιερώθηκαν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τόνοι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πνεύματα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για να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διευκολυνθεί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ορθή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ανάγνωση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των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αρχαίων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κειμένων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τόνοι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οξεία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),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βαρεία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ναὶ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 και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περισπωμένη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σαφῶς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πνεύματα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δασεία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ὡραῖος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 και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ψιλή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ἀλλά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).  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  <w:r w:rsidRPr="001A33EA">
        <w:rPr>
          <w:rFonts w:ascii="Tahoma" w:hAnsi="Tahoma" w:cs="Tahoma"/>
          <w:b/>
          <w:sz w:val="24"/>
          <w:szCs w:val="24"/>
          <w:lang w:val="el-GR"/>
        </w:rPr>
        <w:t>ΚΑΝΟΝΕΣ ΤΟΝΙΣΜΟΥ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συλλαβή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τονίζεται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παίρνει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πάντοτε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οξεία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π.χ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δένδρον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κόσμος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λέγε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προπαραλήγουσα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τονίζεται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παίρνει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πάντοτε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οξεία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π.χ.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αἰώνιος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παρήγορος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σώματα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προπαραλήγουσα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δεν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τονίζεται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π.χ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διάμετρος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u w:val="single"/>
          <w:lang w:val="el-GR"/>
        </w:rPr>
        <w:t>αλλά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διαμέτρου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ἑπόμενος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u w:val="single"/>
          <w:lang w:val="el-GR"/>
        </w:rPr>
        <w:t>αλλά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ἑπομένως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παραλήγουσα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τονίζεται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παίρνει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οξεία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προ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μακρού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οξύνεται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νήσων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θώκων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lastRenderedPageBreak/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παραλήγουσα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τονίζεται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παίρνει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περισπωμένη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βραχύχρονη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(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προ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βραχέος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περισπάται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)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π.χ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νῆσος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θῶκος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βαρεία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σημειώνεται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θέση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της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οξείας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μόνο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δεν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ακολουθεί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στίξη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γενική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δοτική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των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ονομάτων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τονίζεται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λήγουσα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παίρνει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περισπωμένη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π.χ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τῆς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καλῆς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τῶν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δασῶν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Όλοι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δίφθογγοι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εκτός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από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αι και το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όταν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βρίσκονται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τελείως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τέλος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μιας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λέξεως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πχ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ναῦται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αλλά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ναύταις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. Εξαιρούνται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είναι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μακρόχρονοι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δίφθογγοι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στις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καταλήξεις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της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Ευκτικής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στο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επίρρημα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οἴκοι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>Άσκηση για τον τονισμό: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>Βάσει των κανόνων τονισμού και της δήλωσης της μακρότητας ή βραχύτητας των συλλαβών που σου δίνεται να βάλεις τόνο στις παρακάτω λέξεις και φράσεις: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b/>
          <w:sz w:val="24"/>
          <w:szCs w:val="24"/>
          <w:lang w:val="el-GR"/>
        </w:rPr>
      </w:pP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λῐμνη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τον 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πολεμον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καταπῐπτει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παντα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κηπος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των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χωρων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των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μερων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το 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ειδος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βαθεια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οπλιται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ω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πολιτα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λυει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λυεται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κρυπτειν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κρυψαι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δεσμος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κατηγορος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ανωμαλος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Νειλος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βωλος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ταυρος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ταυρου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φλοισβος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δουλος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δουλη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των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δουλων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νευρον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νευρα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οινος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γενναιος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των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γενναιων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σπευδε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βραδεως</w:t>
      </w:r>
      <w:proofErr w:type="spellEnd"/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παταξον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μεν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ακουσον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δε</w:t>
      </w:r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ουδεν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κρυπτον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υπο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ηλιον</w:t>
      </w:r>
      <w:proofErr w:type="spellEnd"/>
    </w:p>
    <w:p w:rsidR="001A33EA" w:rsidRPr="001A33EA" w:rsidRDefault="001A33EA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Πατερ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ο εν τοις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ουρανοις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αγιασθητω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ονομα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ελθετω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βασιλεια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γεννηθητω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θελημα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Σου ως εν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ουρανω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επι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της γης. Τον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αρτον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τον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επιουσιον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δος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ημιν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σημερον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αφες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ημιν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τα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οφειληματα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ως και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ημεις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αφιεμεν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τοις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οφειλεταις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ημων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και μη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εισενεγκης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ημας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εις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πειρασμον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, αλλά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ρυσαι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ημας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απο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 xml:space="preserve"> του </w:t>
      </w:r>
      <w:proofErr w:type="spellStart"/>
      <w:r w:rsidRPr="001A33EA">
        <w:rPr>
          <w:rFonts w:ascii="Tahoma" w:hAnsi="Tahoma" w:cs="Tahoma"/>
          <w:sz w:val="24"/>
          <w:szCs w:val="24"/>
          <w:lang w:val="el-GR"/>
        </w:rPr>
        <w:t>πονηρου</w:t>
      </w:r>
      <w:proofErr w:type="spellEnd"/>
      <w:r w:rsidRPr="001A33EA">
        <w:rPr>
          <w:rFonts w:ascii="Tahoma" w:hAnsi="Tahoma" w:cs="Tahoma"/>
          <w:sz w:val="24"/>
          <w:szCs w:val="24"/>
          <w:lang w:val="el-GR"/>
        </w:rPr>
        <w:t>.</w:t>
      </w:r>
    </w:p>
    <w:p w:rsidR="008014D0" w:rsidRPr="001A33EA" w:rsidRDefault="008014D0" w:rsidP="001A33EA">
      <w:pPr>
        <w:spacing w:line="360" w:lineRule="auto"/>
        <w:rPr>
          <w:rFonts w:ascii="Tahoma" w:hAnsi="Tahoma" w:cs="Tahoma"/>
          <w:sz w:val="24"/>
          <w:szCs w:val="24"/>
          <w:lang w:val="el-GR"/>
        </w:rPr>
      </w:pPr>
    </w:p>
    <w:sectPr w:rsidR="008014D0" w:rsidRPr="001A33EA" w:rsidSect="00801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Antiqu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33EA"/>
    <w:rsid w:val="001A33EA"/>
    <w:rsid w:val="0080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1A33EA"/>
    <w:pPr>
      <w:keepNext/>
      <w:spacing w:line="360" w:lineRule="auto"/>
      <w:jc w:val="both"/>
      <w:outlineLvl w:val="5"/>
    </w:pPr>
    <w:rPr>
      <w:rFonts w:ascii="MgAntique UC Pol" w:hAnsi="MgAntique UC Pol"/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1A33EA"/>
    <w:rPr>
      <w:rFonts w:ascii="MgAntique UC Pol" w:eastAsia="Times New Roman" w:hAnsi="MgAntique UC Po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3319</Characters>
  <Application>Microsoft Office Word</Application>
  <DocSecurity>0</DocSecurity>
  <Lines>27</Lines>
  <Paragraphs>7</Paragraphs>
  <ScaleCrop>false</ScaleCrop>
  <Company>HP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2024-09-16T16:06:00Z</dcterms:created>
  <dcterms:modified xsi:type="dcterms:W3CDTF">2024-09-16T16:10:00Z</dcterms:modified>
</cp:coreProperties>
</file>