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6756" w14:textId="29B63902" w:rsidR="00E51E47" w:rsidRPr="00F87B30" w:rsidRDefault="00E51E47" w:rsidP="002F4CE4">
      <w:pPr>
        <w:rPr>
          <w:b/>
          <w:bCs/>
          <w:u w:val="single"/>
          <w:lang w:val="en-US"/>
        </w:rPr>
      </w:pPr>
      <w:r w:rsidRPr="00E51E47">
        <w:rPr>
          <w:b/>
          <w:bCs/>
          <w:u w:val="single"/>
        </w:rPr>
        <w:t xml:space="preserve">ΕΝΔΕΙΚΤΙΚΕΣ ΠΗΓΕΣ </w:t>
      </w:r>
    </w:p>
    <w:p w14:paraId="61F4C5E7" w14:textId="54DA42FF" w:rsidR="00F62EDE" w:rsidRDefault="00E51E47" w:rsidP="002F4CE4">
      <w:pPr>
        <w:rPr>
          <w:b/>
          <w:bCs/>
        </w:rPr>
      </w:pPr>
      <w:hyperlink r:id="rId5" w:history="1">
        <w:r w:rsidRPr="00B81038">
          <w:rPr>
            <w:rStyle w:val="-"/>
            <w:b/>
            <w:bCs/>
          </w:rPr>
          <w:t>https://www.crimetimes.gr/i-istoria-tis-thanatikis-poinis-kai-ta-e/</w:t>
        </w:r>
      </w:hyperlink>
    </w:p>
    <w:p w14:paraId="184334EA" w14:textId="44680874" w:rsidR="00E51E47" w:rsidRDefault="00E51E47" w:rsidP="002F4CE4">
      <w:pPr>
        <w:rPr>
          <w:b/>
          <w:bCs/>
        </w:rPr>
      </w:pPr>
      <w:hyperlink r:id="rId6" w:history="1">
        <w:r w:rsidRPr="00B81038">
          <w:rPr>
            <w:rStyle w:val="-"/>
            <w:b/>
            <w:bCs/>
          </w:rPr>
          <w:t>https://www.amnesty.gr/blog/20448/5-logoi-gia-na-katargithei-i-thanatiki-poini</w:t>
        </w:r>
      </w:hyperlink>
    </w:p>
    <w:p w14:paraId="4082D0B6" w14:textId="7FAE303C" w:rsidR="00E51E47" w:rsidRDefault="00E51E47" w:rsidP="002F4CE4">
      <w:pPr>
        <w:rPr>
          <w:b/>
          <w:bCs/>
        </w:rPr>
      </w:pPr>
      <w:hyperlink r:id="rId7" w:history="1">
        <w:r w:rsidRPr="00B81038">
          <w:rPr>
            <w:rStyle w:val="-"/>
            <w:b/>
            <w:bCs/>
          </w:rPr>
          <w:t>https://www.amnesty.gr/news/articles/article/3980/10-logoi-gia-toys-opoioys-i-diethnis-amnistia-antitithetai-sti-thanatiki</w:t>
        </w:r>
      </w:hyperlink>
    </w:p>
    <w:p w14:paraId="3249D815" w14:textId="21F4D8D1" w:rsidR="00E51E47" w:rsidRDefault="00E51E47" w:rsidP="002F4CE4">
      <w:pPr>
        <w:rPr>
          <w:b/>
          <w:bCs/>
        </w:rPr>
      </w:pPr>
      <w:hyperlink r:id="rId8" w:history="1">
        <w:r w:rsidRPr="00B81038">
          <w:rPr>
            <w:rStyle w:val="-"/>
            <w:b/>
            <w:bCs/>
          </w:rPr>
          <w:t>https://apothesis.eap.gr/archive/item/95915</w:t>
        </w:r>
      </w:hyperlink>
    </w:p>
    <w:p w14:paraId="739BC0F1" w14:textId="17415AC2" w:rsidR="00E51E47" w:rsidRDefault="00E51E47" w:rsidP="002F4CE4">
      <w:pPr>
        <w:rPr>
          <w:b/>
          <w:bCs/>
        </w:rPr>
      </w:pPr>
      <w:hyperlink r:id="rId9" w:history="1">
        <w:r w:rsidRPr="00B81038">
          <w:rPr>
            <w:rStyle w:val="-"/>
            <w:b/>
            <w:bCs/>
          </w:rPr>
          <w:t>https://www.tovima.gr/2024/01/26/world/thanatiki-poini-se-poies-xores-synexizei-na-yfistatai/</w:t>
        </w:r>
      </w:hyperlink>
    </w:p>
    <w:p w14:paraId="7F54BE4C" w14:textId="77777777" w:rsidR="00E51E47" w:rsidRDefault="00E51E47" w:rsidP="002F4CE4">
      <w:pPr>
        <w:rPr>
          <w:b/>
          <w:bCs/>
        </w:rPr>
      </w:pPr>
    </w:p>
    <w:p w14:paraId="4820AF09" w14:textId="4A1EB32B" w:rsidR="00E51E47" w:rsidRDefault="00E51E47" w:rsidP="002F4CE4">
      <w:pPr>
        <w:rPr>
          <w:b/>
          <w:bCs/>
        </w:rPr>
      </w:pPr>
      <w:r>
        <w:rPr>
          <w:b/>
          <w:bCs/>
        </w:rPr>
        <w:t xml:space="preserve">ΜΕ ΒΑΣΗ ΤΙΣ ΠΑΡΑΠΑΝΩ ΠΗΓΕΣ ΑΛΛΑ ΚΑΙ ΑΛΛΕΣ ΠΛΗΡΟΦΟΡΙΕΣ ΑΠΟ ΤΟ ΔΙΑΔΙΚΤΥΟ ΝΑ </w:t>
      </w:r>
      <w:r w:rsidR="00F87B30">
        <w:rPr>
          <w:b/>
          <w:bCs/>
        </w:rPr>
        <w:t xml:space="preserve">ΔΩΣΕΤΕ ΠΛΗΡΟΦΟΡΙΕΣ ΓΙΑ ΤΗΝ ΘΑΝΑΤΙΚΗ ΠΟΙΝΗ ΚΑΙ </w:t>
      </w:r>
      <w:r>
        <w:rPr>
          <w:b/>
          <w:bCs/>
        </w:rPr>
        <w:t xml:space="preserve">ΤΑ ΕΡΩΤΗΜΑΤΑ ΠΟΥ ΑΝΑΚΥΠΤΟΥΝ ΣΕ ΣΧΕΣΗ ΜΕ ΤΗΝ ΘΑΝΑΤΙΚΗ ΠΟΙΝΗ ΚΑΙ ΤΗΝ ΗΘΙΚΗ (ΔΙΚΑΙΩΜΑ ΤΗΣ ΖΩΗΣ- ΤΙΜΩΡΙΑ- ΘΡΗΣΚΕΙΑ- ΝΟΜΟΣ-ΕΓΚΛΗΜΑ). </w:t>
      </w:r>
    </w:p>
    <w:p w14:paraId="4C4A9651" w14:textId="27EA0C42" w:rsidR="00E51E47" w:rsidRDefault="00E51E47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ΠΟΙΑ Η ΘΕΣΗ ΣΑΣ ΓΙΑ ΤΗΝ ΕΦΑΡΜΟΓΗ Η ΜΗ ΤΗΣ ΘΑΝΑΤΙΚΗΣ ΠΟΙΝΗΣ</w:t>
      </w:r>
      <w:r w:rsidRPr="00E51E47">
        <w:rPr>
          <w:b/>
          <w:bCs/>
        </w:rPr>
        <w:t xml:space="preserve">; </w:t>
      </w:r>
    </w:p>
    <w:p w14:paraId="632891A1" w14:textId="3CE351B6" w:rsidR="00E51E47" w:rsidRDefault="00E51E47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ΕΧΕΙ ΜΕΓΑΛΥΤΕΡΗ ΑΞΙΑ Η ΖΩΗ ΟΠΟΙΟΥΔΗΠΟΤΕ ΑΝΘΡΩΠΟΥ Ή Η ΤΙΜΩΡΙΑ ΓΙΑ ΚΑΠΟΙΟ ΕΓΚΛΗΜΑ ΚΑΤΑ ΤΗΣ ΖΩΗΣ ΚΑΠΟΙΟΥ ΑΛΛΟΥ ΜΕ ΤΗΝ ΑΦΑΙΡΕΣΗ ΤΗΣ ΖΩΗΣ ΤΟΥ ΕΓΚΛΗΜΑΤΙΑ</w:t>
      </w:r>
      <w:r w:rsidRPr="00E51E47">
        <w:rPr>
          <w:b/>
          <w:bCs/>
        </w:rPr>
        <w:t xml:space="preserve">; </w:t>
      </w:r>
    </w:p>
    <w:p w14:paraId="7E4FFD0B" w14:textId="338229A4" w:rsidR="00E51E47" w:rsidRDefault="00E51E47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ΜΠΟΡΕΙ ΝΑ ΧΡΗΣΙΜΟΠΟΙΕΙΤΑΙ ΑΛΟΓΙΣΤΑ Η ΘΑΝΑΤΙΚΗ ΠΟΙΝΗ ΣΕ ΚΑΠΟΙΑ ΚΡΑΤΗ ΛΟΓΩ ΤΟΥ ΗΘΙΚΟΥ ΚΩΔΙΚΑ ΠΟΥ ΥΠΑΡΧΕΙ ΕΚΕΙ ΒΑΣΕΙ ΘΡΗΣΚΕΙΑΣ Ή ΠΑΡΑΔΟΣΗΣ</w:t>
      </w:r>
      <w:r w:rsidRPr="00E51E47">
        <w:rPr>
          <w:b/>
          <w:bCs/>
        </w:rPr>
        <w:t xml:space="preserve">; </w:t>
      </w:r>
    </w:p>
    <w:p w14:paraId="2501B410" w14:textId="2BC7B84F" w:rsidR="00E51E47" w:rsidRDefault="00E51E47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ΕΙΝΑΙ Η ΘΑΝΑΤΙΚΗ ΠΟΙΝΗ ΑΠΟΤΡΕΠΤΙΚΟ ΜΕΣΟ ΓΙΑ ΜΕΙΩΣΗ ΤΗΣ ΕΓΚΛΗΜΑΤΙΚΟΤΗΤΑΣ</w:t>
      </w:r>
      <w:r w:rsidRPr="00E51E47">
        <w:rPr>
          <w:b/>
          <w:bCs/>
        </w:rPr>
        <w:t xml:space="preserve">; </w:t>
      </w:r>
    </w:p>
    <w:p w14:paraId="39337724" w14:textId="2AEB9862" w:rsidR="00F87B30" w:rsidRDefault="00F87B30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ΠΩΣ ΣΥΓΚΡΟΥΕΤΑΙ Η ΘΡΗΣΚΕΙΑ ΜΕ ΤΗΝ ΑΦΑΙΡΕΣΗ ΜΙΑΣ ΖΩΗΣ</w:t>
      </w:r>
      <w:r w:rsidRPr="00F87B30">
        <w:rPr>
          <w:b/>
          <w:bCs/>
        </w:rPr>
        <w:t xml:space="preserve">; </w:t>
      </w:r>
    </w:p>
    <w:p w14:paraId="12C6D353" w14:textId="610CDFBE" w:rsidR="00F87B30" w:rsidRDefault="00F87B30" w:rsidP="00E51E47">
      <w:pPr>
        <w:pStyle w:val="a6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ΘΑ ΔΙΚΑΙΟΛΟΓΟΥΣΑΤΕ ΤΗΝ ΘΑΝΑΤΙΚΗ ΠΟΙΝΗ ΣΕ ΣΥΓΚΕΚΡΙΜΕΝΑ ΜΟΝΟ ΕΓΚΛΗΜΑΤΑ</w:t>
      </w:r>
      <w:r w:rsidRPr="00F87B30">
        <w:rPr>
          <w:b/>
          <w:bCs/>
        </w:rPr>
        <w:t xml:space="preserve">; </w:t>
      </w:r>
      <w:r>
        <w:rPr>
          <w:b/>
          <w:bCs/>
        </w:rPr>
        <w:t xml:space="preserve">κτλ. </w:t>
      </w:r>
    </w:p>
    <w:p w14:paraId="374B6E88" w14:textId="77777777" w:rsidR="00E51E47" w:rsidRPr="00E51E47" w:rsidRDefault="00E51E47" w:rsidP="00E51E47">
      <w:pPr>
        <w:ind w:left="360"/>
        <w:rPr>
          <w:b/>
          <w:bCs/>
        </w:rPr>
      </w:pPr>
    </w:p>
    <w:sectPr w:rsidR="00E51E47" w:rsidRPr="00E51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446A4"/>
    <w:multiLevelType w:val="hybridMultilevel"/>
    <w:tmpl w:val="46E2BD0E"/>
    <w:lvl w:ilvl="0" w:tplc="8FFEA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12C1"/>
    <w:multiLevelType w:val="hybridMultilevel"/>
    <w:tmpl w:val="3DCE9716"/>
    <w:lvl w:ilvl="0" w:tplc="C904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2E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B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6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8F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6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20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8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82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365C9B"/>
    <w:multiLevelType w:val="hybridMultilevel"/>
    <w:tmpl w:val="7C927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E7263"/>
    <w:multiLevelType w:val="hybridMultilevel"/>
    <w:tmpl w:val="1FD0F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4433">
    <w:abstractNumId w:val="1"/>
  </w:num>
  <w:num w:numId="2" w16cid:durableId="1865365046">
    <w:abstractNumId w:val="3"/>
  </w:num>
  <w:num w:numId="3" w16cid:durableId="1987859716">
    <w:abstractNumId w:val="2"/>
  </w:num>
  <w:num w:numId="4" w16cid:durableId="123531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3"/>
    <w:rsid w:val="00042D34"/>
    <w:rsid w:val="00047438"/>
    <w:rsid w:val="00050C56"/>
    <w:rsid w:val="00292413"/>
    <w:rsid w:val="002F4CE4"/>
    <w:rsid w:val="009F6B14"/>
    <w:rsid w:val="00C81F75"/>
    <w:rsid w:val="00E51E47"/>
    <w:rsid w:val="00F62EDE"/>
    <w:rsid w:val="00F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A246"/>
  <w15:chartTrackingRefBased/>
  <w15:docId w15:val="{5385862F-F6CD-464E-B606-C744999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2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2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241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241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24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24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24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2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2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24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24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241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2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241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241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F4CE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thesis.eap.gr/archive/item/95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gr/news/articles/article/3980/10-logoi-gia-toys-opoioys-i-diethnis-amnistia-antitithetai-sti-thana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nesty.gr/blog/20448/5-logoi-gia-na-katargithei-i-thanatiki-poi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rimetimes.gr/i-istoria-tis-thanatikis-poinis-kai-ta-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vima.gr/2024/01/26/world/thanatiki-poini-se-poies-xores-synexizei-na-yfistata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2024-12-30T09:53:00Z</dcterms:created>
  <dcterms:modified xsi:type="dcterms:W3CDTF">2025-01-02T09:25:00Z</dcterms:modified>
</cp:coreProperties>
</file>