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5" w:rsidRPr="00AD11D5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lang w:val="en-US" w:eastAsia="el-GR"/>
        </w:rPr>
        <w:t>KEIMENO</w:t>
      </w: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l-GR"/>
        </w:rPr>
        <w:t xml:space="preserve"> 36</w:t>
      </w: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1.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paupertatem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eius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αντικαταστήσετε την επαναληπτική αντωνυμία από τον σωστό τύπο της κτητικής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suus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-a-um. Ποια η σημασιολογική και ποια η συντακτική διαφορά;</w:t>
      </w: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</w:pP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suam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: το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suam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λειτουργεί ως επιθετικός προσδιορισμός στο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ενώ το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eius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λειτουργεί ως γενική κτητική.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eius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: Οι Σαμνίτες θαύμασαν τη φτώχια του, του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Δεντάτου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που αναφέρθηκε παραπάνω (κτήση χωρίς αυτοπάθεια).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suam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: Οι Σαμνίτες θαύμασαν τη δική τους φτώχια (άμεση αυτοπάθεια).</w:t>
      </w:r>
    </w:p>
    <w:p w:rsidR="00AD11D5" w:rsidRPr="00AD11D5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2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a)narrate: να εκφράσετε την απαγόρευση με όλους τους δυνατούς τρόπους.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b)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mementote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εκφράσετε απαγόρευση χρησιμοποιώντας το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AD11D5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BD7A21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a) </w:t>
      </w:r>
      <w:proofErr w:type="spellStart"/>
      <w:proofErr w:type="gram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nolite</w:t>
      </w:r>
      <w:proofErr w:type="spellEnd"/>
      <w:proofErr w:type="gram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narrare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// ne</w:t>
      </w:r>
      <w:r w:rsidR="00AD11D5" w:rsidRP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="00AD11D5" w:rsidRP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narraveritis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  <w:t xml:space="preserve">b) ne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memineritis</w:t>
      </w:r>
      <w:proofErr w:type="spellEnd"/>
    </w:p>
    <w:p w:rsidR="00AD11D5" w:rsidRPr="00AD11D5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3.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τρέψετε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ενεργητική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σύνταξη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των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παρακάτω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προτάσεων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παθητική</w:t>
      </w:r>
      <w:proofErr w:type="gram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Samnitium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divitias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contempsit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cum ad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magnum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pondus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auri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publice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missum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attulissent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Samnites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vultum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risu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solvit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</w:p>
    <w:p w:rsidR="00AD11D5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</w:pP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Divitiae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Samnitium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contemptae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sunt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Dentato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  <w:t xml:space="preserve">cum ad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magnum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pondus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auri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publice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missum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allatum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esset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Samnitibus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vultus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risu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solutus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est</w:t>
      </w:r>
      <w:proofErr w:type="spellEnd"/>
      <w:proofErr w:type="gram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Dentato</w:t>
      </w:r>
      <w:proofErr w:type="spellEnd"/>
    </w:p>
    <w:p w:rsidR="00AD11D5" w:rsidRPr="00AD11D5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4.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Στην πρόταση που ακολουθεί να αντικαταστήσετε το υποκείμενο με το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illa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Ποια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αλλαγή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θα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προκύψει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;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Ille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se in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scamno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assidentem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focum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ex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ligneo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catillo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cenantem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spectandum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praebuit</w:t>
      </w:r>
      <w:proofErr w:type="spellEnd"/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Illa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se in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scamno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assidentem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apud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focum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gram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et</w:t>
      </w:r>
      <w:proofErr w:type="gram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ex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ligneo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catillo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cenantem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spectandam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praebuit</w:t>
      </w:r>
      <w:proofErr w:type="spellEnd"/>
    </w:p>
    <w:p w:rsidR="00A4355D" w:rsidRDefault="00A4355D">
      <w:pPr>
        <w:rPr>
          <w:lang w:val="en-US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5.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eo</w:t>
      </w:r>
      <w:proofErr w:type="spellEnd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uteretur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να δηλωθεί ο σκοπός με όλους τους δυνατούς τρόπους.</w:t>
      </w:r>
    </w:p>
    <w:p w:rsidR="00BD7A21" w:rsidRPr="00BD7A21" w:rsidRDefault="00BD7A21" w:rsidP="00BD7A21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FF0000"/>
          <w:lang w:eastAsia="el-GR"/>
        </w:rPr>
      </w:pP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qui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eo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uteretur</w:t>
      </w:r>
      <w:proofErr w:type="spellEnd"/>
    </w:p>
    <w:p w:rsidR="00BD7A21" w:rsidRPr="00BD7A21" w:rsidRDefault="00BD7A21" w:rsidP="00BD7A21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FF0000"/>
          <w:lang w:eastAsia="el-GR"/>
        </w:rPr>
      </w:pP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lastRenderedPageBreak/>
        <w:t>eo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usum</w:t>
      </w:r>
      <w:proofErr w:type="spellEnd"/>
    </w:p>
    <w:p w:rsidR="00BD7A21" w:rsidRPr="00BD7A21" w:rsidRDefault="00BD7A21" w:rsidP="00BD7A21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FF0000"/>
          <w:lang w:eastAsia="el-GR"/>
        </w:rPr>
      </w:pP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eo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utendi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causa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/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gratia</w:t>
      </w:r>
      <w:proofErr w:type="spellEnd"/>
    </w:p>
    <w:p w:rsidR="00BD7A21" w:rsidRPr="00BD7A21" w:rsidRDefault="00BD7A21" w:rsidP="00BD7A21">
      <w:pPr>
        <w:numPr>
          <w:ilvl w:val="0"/>
          <w:numId w:val="5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FF0000"/>
          <w:lang w:eastAsia="el-GR"/>
        </w:rPr>
      </w:pP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ad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eo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lang w:eastAsia="el-GR"/>
        </w:rPr>
        <w:t>utendum</w:t>
      </w:r>
      <w:proofErr w:type="spellEnd"/>
    </w:p>
    <w:p w:rsidR="00BD7A21" w:rsidRPr="00BD7A21" w:rsidRDefault="00BD7A21" w:rsidP="00AD11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AD11D5" w:rsidRPr="00AD11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cum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...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attulissent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γίνει σύμπτυξη της παραπάνω δευτερεύουσας χρονικής επιρρηματικής πρότασης που εισάγεται με τον ιστορικό -διηγηματικό σύνδεσμο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σε αφαιρετική απόλυτη μετοχή.</w:t>
      </w: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proofErr w:type="gram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Magno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pondere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auri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allato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ad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a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Samnitibus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publice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misso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proofErr w:type="gramEnd"/>
    </w:p>
    <w:p w:rsidR="00AD11D5" w:rsidRPr="00AD11D5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BD7A21" w:rsidRPr="00BD7A21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7.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τρέψετε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υπογραμμισμένες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προτάσεις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ακολουθούν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μετοχές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εκφράζουν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proofErr w:type="gram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Samnitium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divitias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contempsit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 et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Samnites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paupertatem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mirati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sunt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(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Dentatus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)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vultum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risu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solvit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 et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protinus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dixit</w:t>
      </w: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</w:pP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A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Dentato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l-GR"/>
        </w:rPr>
        <w:t>suis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divitiis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contemptis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Samnites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eius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mirati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sunt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  <w:t xml:space="preserve">(Από τη στιγμή που προκύπτει μία κύρια πρόταση, η επανάληψη του εθνικού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Samnites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-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Samnitium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είναι αδόκιμη. Γι’ αυτό αντικαθιστούμε τη γενική κτητική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Samnitium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με την αντωνυμία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που εκφράζει κτήση και έμμεση αυτοπάθεια)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  <w:t>ή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divitiis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contemptis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Samnites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paupertatem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Dentati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mirati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sunt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(αντικατάσταση της επαναληπτικής αντωνυμίας με το ουσιαστικό στο οποίο αναφερόταν, άρα δεν δηλώνεται το ποιητικό αίτιο αφού αποτελεί όρο της πρότασης)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Dentatus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vultu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risu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soluto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protinus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dixit</w:t>
      </w:r>
      <w:proofErr w:type="spellEnd"/>
    </w:p>
    <w:p w:rsidR="00BD7A21" w:rsidRPr="00BD7A21" w:rsidRDefault="00BD7A21" w:rsidP="00AD11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br/>
      </w:r>
      <w:r w:rsidR="00AD11D5" w:rsidRPr="00AD11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8. 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Στην περίοδο που ακολουθεί να αντικαταστήσετε τη δευτερεύουσα τελική πρόταση με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αναφορικοτελική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πρόταση</w:t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Manius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Curius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Dentatus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maxima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frugalitate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utebatur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quo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facilius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divitias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contemnere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posset</w:t>
      </w:r>
      <w:proofErr w:type="spellEnd"/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… </w:t>
      </w:r>
      <w:proofErr w:type="gram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qui</w:t>
      </w:r>
      <w:proofErr w:type="gram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facilius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divitias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contemnere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posset.</w:t>
      </w:r>
    </w:p>
    <w:p w:rsidR="00BD7A21" w:rsidRDefault="00BD7A21">
      <w:pPr>
        <w:rPr>
          <w:lang w:val="en-US"/>
        </w:rPr>
      </w:pPr>
    </w:p>
    <w:p w:rsidR="00BD7A21" w:rsidRPr="00BD7A21" w:rsidRDefault="00AD11D5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9.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Ille</w:t>
      </w:r>
      <w:proofErr w:type="gram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se in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scamno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assidentem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apud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focum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et ex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ligneo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catillo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cenantem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eis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BD7A21" w:rsidRPr="00BD7A2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spectandum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praebuit</w:t>
      </w:r>
      <w:proofErr w:type="spellEnd"/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: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εκφράσετε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τον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σκοπό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δευτερεύουσα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="00BD7A21"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BD7A21" w:rsidRPr="00BD7A21" w:rsidRDefault="00BD7A21" w:rsidP="00BD7A21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Ille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se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praebuit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ut</w:t>
      </w:r>
      <w:proofErr w:type="spellEnd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spectaretur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in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scamno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assidens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apud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focum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et ex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ligneo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catillo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cenans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(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τελική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πρόταση</w:t>
      </w:r>
      <w:proofErr w:type="gram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)</w:t>
      </w:r>
      <w:proofErr w:type="gram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BD7A2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lastRenderedPageBreak/>
        <w:t>Ille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se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eis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praebuit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qui 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spectaretur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in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scamno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assidens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apud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focum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et ex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ligneo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catillo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BD7A2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cenans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(</w:t>
      </w:r>
      <w:proofErr w:type="spellStart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αναφορικο</w:t>
      </w:r>
      <w:proofErr w:type="spellEnd"/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-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τελική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πρόταση</w:t>
      </w:r>
      <w:r w:rsidRPr="00BD7A21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)</w:t>
      </w:r>
    </w:p>
    <w:p w:rsidR="00BD7A21" w:rsidRDefault="00BD7A21">
      <w:pPr>
        <w:rPr>
          <w:lang w:val="en-US"/>
        </w:rPr>
      </w:pPr>
    </w:p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37</w:t>
      </w: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1. </w:t>
      </w:r>
      <w:proofErr w:type="gramStart"/>
      <w:r w:rsidR="003421D9" w:rsidRPr="003421D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quam</w:t>
      </w:r>
      <w:proofErr w:type="gramEnd"/>
      <w:r w:rsidR="003421D9" w:rsidRPr="003421D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victoria: 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δηλωθεί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ισοδύναμο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τρόπο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ο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β΄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όρος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σύγκρισης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proofErr w:type="gram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victoriā</w:t>
      </w:r>
      <w:proofErr w:type="spellEnd"/>
      <w:proofErr w:type="gram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(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l-GR"/>
        </w:rPr>
        <w:t>αφαιρετική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l-GR"/>
        </w:rPr>
        <w:t>συγκριτική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)</w:t>
      </w:r>
    </w:p>
    <w:p w:rsidR="003421D9" w:rsidRDefault="003421D9">
      <w:pPr>
        <w:rPr>
          <w:lang w:val="en-US"/>
        </w:rPr>
      </w:pPr>
    </w:p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38</w:t>
      </w:r>
    </w:p>
    <w:p w:rsidR="003421D9" w:rsidRP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1. </w:t>
      </w:r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uxor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Metelli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more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prisco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omen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nuptiale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petit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filiae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sororis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ipsa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fecit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omen.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β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Nam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mortua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quam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Metellus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vixit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multum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amavit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ξαναγράψετε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παραπάνω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περιόδους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συμπτύσσοντας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χρονικές προτάσεις σε μετοχές.</w:t>
      </w: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Caecilia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, uxor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Metelli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, more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prisco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omen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nuptiale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u w:val="single"/>
          <w:lang w:val="en-US" w:eastAsia="el-GR"/>
        </w:rPr>
        <w:t>petens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filiae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sororis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,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ipsa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omen.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β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Nam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mortua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est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Caecilia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, quam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u w:val="single"/>
          <w:lang w:val="en-US" w:eastAsia="el-GR"/>
        </w:rPr>
        <w:t>viventem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Metellus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multum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amavit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</w:p>
    <w:p w:rsidR="003421D9" w:rsidRPr="00AD11D5" w:rsidRDefault="003421D9">
      <w:pPr>
        <w:rPr>
          <w:color w:val="FF0000"/>
          <w:lang w:val="en-US"/>
        </w:rPr>
      </w:pPr>
    </w:p>
    <w:p w:rsid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 xml:space="preserve">2.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Στις παρακάτω προτάσεις να τρέψετε την ενεργητική σύνταξη σε παθητική: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α)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Hoc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dictum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paulo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post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ipsa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confirmavit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β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Postea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is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matrimonium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AD11D5" w:rsidRP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Hoc dictum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paul</w:t>
      </w:r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o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post re </w:t>
      </w:r>
      <w:proofErr w:type="spellStart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ipsā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confirmatum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est.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β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Postea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ab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eo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puella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in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matrimonium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ducta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est.</w:t>
      </w:r>
    </w:p>
    <w:p w:rsidR="00AD11D5" w:rsidRPr="00AD11D5" w:rsidRDefault="00AD11D5" w:rsidP="00AD11D5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AD11D5" w:rsidP="003421D9">
      <w:pPr>
        <w:shd w:val="clear" w:color="auto" w:fill="FFFFFF"/>
        <w:spacing w:after="240"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3.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Mortua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est</w:t>
      </w:r>
      <w:proofErr w:type="spellEnd"/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Caecilia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;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postea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is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matrimonium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duxit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</w:p>
    <w:p w:rsid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a) Να ξαναγράψετε τις δυο προτάσεις σε μια περίοδο αφού τρέψετε την πρώτη πρόταση σε δευτερεύουσα χρονική εισαγόμενη με τον ιστορικό διηγηματικό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cum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που να εκφράζει το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προτερόχρονο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b) Να συμπτύξετε τη χρονική πρόταση που δημιουργήσατε σε χρονική μετοχή.</w:t>
      </w:r>
    </w:p>
    <w:p w:rsidR="00AD11D5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a) Cum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Caecilia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mortua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esset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, i</w:t>
      </w:r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s </w:t>
      </w:r>
      <w:proofErr w:type="spellStart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puellam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in </w:t>
      </w:r>
      <w:proofErr w:type="spellStart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matrimonium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duxit</w:t>
      </w:r>
      <w:proofErr w:type="spellEnd"/>
      <w:r w:rsidR="00AD11D5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  <w:t xml:space="preserve">b)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Caeciliā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mortuā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is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puellam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in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matrimonium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duxit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</w:p>
    <w:p w:rsidR="003421D9" w:rsidRPr="003421D9" w:rsidRDefault="003421D9" w:rsidP="003421D9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lastRenderedPageBreak/>
        <w:t xml:space="preserve">4.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παρακάτω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τρέψετε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την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παθητική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σύνταξη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ενεργητική</w:t>
      </w:r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  <w:t xml:space="preserve">Dum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aliqua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vox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congruens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proposito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audiretur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ab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illis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).</w:t>
      </w: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gram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Dum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illae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aliquam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vocem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congruentem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proposito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audirent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proofErr w:type="gramEnd"/>
    </w:p>
    <w:p w:rsid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val="en-US" w:eastAsia="el-GR"/>
        </w:rPr>
      </w:pPr>
    </w:p>
    <w:p w:rsidR="003421D9" w:rsidRDefault="00AD11D5" w:rsidP="00AD11D5">
      <w:pPr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>5.</w:t>
      </w:r>
      <w:r>
        <w:rPr>
          <w:rFonts w:ascii="Trebuchet MS" w:eastAsia="Times New Roman" w:hAnsi="Trebuchet MS" w:cs="Times New Roman"/>
          <w:b/>
          <w:bCs/>
          <w:color w:val="000000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val="en-US" w:eastAsia="el-GR"/>
        </w:rPr>
        <w:t>Cede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mihi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tua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sede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 δηλωθεί απαγόρευση και με τους δυο τρόπους</w:t>
      </w:r>
    </w:p>
    <w:p w:rsidR="00AD11D5" w:rsidRPr="003421D9" w:rsidRDefault="00AD11D5" w:rsidP="00AD11D5">
      <w:pPr>
        <w:spacing w:line="336" w:lineRule="atLeast"/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AD11D5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Noli</w:t>
      </w:r>
      <w:proofErr w:type="spellEnd"/>
      <w:r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cedere</w:t>
      </w:r>
      <w:proofErr w:type="spellEnd"/>
      <w:r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proofErr w:type="gramEnd"/>
      <w:r w:rsidR="003421D9"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proofErr w:type="gramStart"/>
      <w:r w:rsidR="003421D9"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Ne </w:t>
      </w:r>
      <w:proofErr w:type="spellStart"/>
      <w:r w:rsidR="003421D9"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cesseris</w:t>
      </w:r>
      <w:proofErr w:type="spellEnd"/>
      <w:r w:rsidR="003421D9"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proofErr w:type="gramEnd"/>
    </w:p>
    <w:p w:rsidR="003421D9" w:rsidRDefault="003421D9">
      <w:pPr>
        <w:rPr>
          <w:lang w:val="en-US"/>
        </w:rPr>
      </w:pPr>
    </w:p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39</w:t>
      </w: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1.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Μετατρέψτε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τις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προτάσεις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υποθετικούς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λόγους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ανάλογα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είδος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που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ζητείται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: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val="en-US"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obferes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faciet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. (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ανοι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x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τή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υπόθεση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)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val="en-US"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obfers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facit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. (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δυνατή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υπόθεση</w:t>
      </w:r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)</w:t>
      </w:r>
    </w:p>
    <w:p w:rsidR="003421D9" w:rsidRPr="003421D9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obtulisti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(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eastAsia="el-GR"/>
        </w:rPr>
        <w:t>ανοιxτή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eastAsia="el-GR"/>
        </w:rPr>
        <w:t xml:space="preserve"> υπόθεση)</w:t>
      </w:r>
    </w:p>
    <w:p w:rsidR="003421D9" w:rsidRPr="00AD11D5" w:rsidRDefault="003421D9" w:rsidP="003421D9">
      <w:pPr>
        <w:numPr>
          <w:ilvl w:val="0"/>
          <w:numId w:val="12"/>
        </w:num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eastAsia="el-GR"/>
        </w:rPr>
      </w:pP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obtulisti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Simulacrum </w:t>
      </w:r>
      <w:proofErr w:type="spellStart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000000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000000"/>
          <w:lang w:eastAsia="el-GR"/>
        </w:rPr>
        <w:t>(υπόθεση αντίθετη προς την πραγματικότητα)</w:t>
      </w:r>
    </w:p>
    <w:p w:rsidR="00AD11D5" w:rsidRPr="003421D9" w:rsidRDefault="00AD11D5" w:rsidP="00AD11D5">
      <w:pPr>
        <w:shd w:val="clear" w:color="auto" w:fill="FFFFFF"/>
        <w:spacing w:line="308" w:lineRule="atLeast"/>
        <w:ind w:left="750"/>
        <w:rPr>
          <w:rFonts w:ascii="Trebuchet MS" w:eastAsia="Times New Roman" w:hAnsi="Trebuchet MS" w:cs="Times New Roman"/>
          <w:color w:val="000000"/>
          <w:lang w:eastAsia="el-GR"/>
        </w:rPr>
      </w:pPr>
    </w:p>
    <w:p w:rsidR="003421D9" w:rsidRPr="003421D9" w:rsidRDefault="003421D9" w:rsidP="00AD11D5">
      <w:pPr>
        <w:numPr>
          <w:ilvl w:val="0"/>
          <w:numId w:val="13"/>
        </w:numPr>
        <w:shd w:val="clear" w:color="auto" w:fill="FFFFFF"/>
        <w:spacing w:line="308" w:lineRule="atLeast"/>
        <w:ind w:left="750"/>
        <w:jc w:val="left"/>
        <w:rPr>
          <w:rFonts w:ascii="Trebuchet MS" w:eastAsia="Times New Roman" w:hAnsi="Trebuchet MS" w:cs="Times New Roman"/>
          <w:color w:val="FF0000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Si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obferes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, simulacrum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faciet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.</w:t>
      </w:r>
    </w:p>
    <w:p w:rsidR="003421D9" w:rsidRPr="003421D9" w:rsidRDefault="003421D9" w:rsidP="00AD11D5">
      <w:pPr>
        <w:numPr>
          <w:ilvl w:val="0"/>
          <w:numId w:val="13"/>
        </w:numPr>
        <w:shd w:val="clear" w:color="auto" w:fill="FFFFFF"/>
        <w:spacing w:line="308" w:lineRule="atLeast"/>
        <w:ind w:left="750"/>
        <w:jc w:val="left"/>
        <w:rPr>
          <w:rFonts w:ascii="Trebuchet MS" w:eastAsia="Times New Roman" w:hAnsi="Trebuchet MS" w:cs="Times New Roman"/>
          <w:color w:val="FF0000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Si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obferas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, simulacrum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faciat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.</w:t>
      </w:r>
    </w:p>
    <w:p w:rsidR="003421D9" w:rsidRPr="003421D9" w:rsidRDefault="003421D9" w:rsidP="00AD11D5">
      <w:pPr>
        <w:numPr>
          <w:ilvl w:val="0"/>
          <w:numId w:val="13"/>
        </w:numPr>
        <w:shd w:val="clear" w:color="auto" w:fill="FFFFFF"/>
        <w:spacing w:line="308" w:lineRule="atLeast"/>
        <w:ind w:left="750"/>
        <w:jc w:val="left"/>
        <w:rPr>
          <w:rFonts w:ascii="Trebuchet MS" w:eastAsia="Times New Roman" w:hAnsi="Trebuchet MS" w:cs="Times New Roman"/>
          <w:color w:val="FF0000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Si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obtulisti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, simulacrum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fecit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.</w:t>
      </w:r>
    </w:p>
    <w:p w:rsidR="003421D9" w:rsidRPr="003421D9" w:rsidRDefault="003421D9" w:rsidP="00AD11D5">
      <w:pPr>
        <w:numPr>
          <w:ilvl w:val="0"/>
          <w:numId w:val="13"/>
        </w:numPr>
        <w:shd w:val="clear" w:color="auto" w:fill="FFFFFF"/>
        <w:spacing w:line="308" w:lineRule="atLeast"/>
        <w:ind w:left="750"/>
        <w:jc w:val="left"/>
        <w:rPr>
          <w:rFonts w:ascii="Trebuchet MS" w:eastAsia="Times New Roman" w:hAnsi="Trebuchet MS" w:cs="Times New Roman"/>
          <w:color w:val="FF0000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Si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marmor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Phidiae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obtulisses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 xml:space="preserve"> simulacrum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fecisset</w:t>
      </w:r>
      <w:proofErr w:type="spellEnd"/>
      <w:r w:rsidRPr="003421D9">
        <w:rPr>
          <w:rFonts w:ascii="Trebuchet MS" w:eastAsia="Times New Roman" w:hAnsi="Trebuchet MS" w:cs="Times New Roman"/>
          <w:color w:val="FF0000"/>
          <w:lang w:val="en-US" w:eastAsia="el-GR"/>
        </w:rPr>
        <w:t>.</w:t>
      </w:r>
    </w:p>
    <w:p w:rsidR="003421D9" w:rsidRDefault="003421D9">
      <w:pPr>
        <w:rPr>
          <w:lang w:val="en-US"/>
        </w:rPr>
      </w:pPr>
    </w:p>
    <w:p w:rsidR="00AD11D5" w:rsidRPr="00AD11D5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</w:pPr>
      <w:r w:rsidRPr="00AD11D5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val="en-US" w:eastAsia="el-GR"/>
        </w:rPr>
        <w:t>KEIMENO 40</w:t>
      </w: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  <w:proofErr w:type="gramStart"/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1.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numquam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tamen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ego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hostem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iudicabo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Marium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: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να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μεταφερθεί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στην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παθητική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φωνή</w:t>
      </w:r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.</w:t>
      </w: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proofErr w:type="gram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numquam</w:t>
      </w:r>
      <w:proofErr w:type="spellEnd"/>
      <w:proofErr w:type="gram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tamen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a me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hostis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iudicabitur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Marius</w:t>
      </w:r>
    </w:p>
    <w:p w:rsidR="003421D9" w:rsidRDefault="003421D9">
      <w:pPr>
        <w:rPr>
          <w:lang w:val="en-US"/>
        </w:rPr>
      </w:pPr>
    </w:p>
    <w:p w:rsidR="003421D9" w:rsidRPr="003421D9" w:rsidRDefault="00AD11D5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D11D5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2.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interrogatus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η χρονική μετοχή να μετατραπεί σε δευτερεύουσα χρονική πρόταση.</w:t>
      </w:r>
    </w:p>
    <w:p w:rsidR="003421D9" w:rsidRPr="003421D9" w:rsidRDefault="003421D9" w:rsidP="00AD11D5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gram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cum</w:t>
      </w:r>
      <w:proofErr w:type="gram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interrogatus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esset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postquam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interrogatus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est</w:t>
      </w:r>
      <w:proofErr w:type="spellEnd"/>
    </w:p>
    <w:p w:rsidR="003421D9" w:rsidRPr="003421D9" w:rsidRDefault="003421D9" w:rsidP="006D6C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="006D6C7A" w:rsidRPr="006D6C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</w:t>
      </w:r>
      <w:proofErr w:type="spellStart"/>
      <w:proofErr w:type="gram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numquam</w:t>
      </w:r>
      <w:proofErr w:type="spellEnd"/>
      <w:proofErr w:type="gram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ego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…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: Να μετατραπεί ο ευθύς λόγος σε πλάγιο με εξάρτηση από το: 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Q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M</w:t>
      </w: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Scaevola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dicit</w:t>
      </w:r>
      <w:proofErr w:type="spellEnd"/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gram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Q. M.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Scaevola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dicit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numquam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se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iudicaturum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esse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.</w:t>
      </w:r>
      <w:proofErr w:type="gramEnd"/>
    </w:p>
    <w:p w:rsidR="006D6C7A" w:rsidRPr="006D6C7A" w:rsidRDefault="006D6C7A" w:rsidP="006D6C7A">
      <w:pPr>
        <w:jc w:val="left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</w:pPr>
    </w:p>
    <w:p w:rsidR="003421D9" w:rsidRPr="003421D9" w:rsidRDefault="006D6C7A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6D6C7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4. </w:t>
      </w:r>
      <w:proofErr w:type="gram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semper</w:t>
      </w:r>
      <w:proofErr w:type="gram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tamen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…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conservatam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esse</w:t>
      </w:r>
      <w:proofErr w:type="spellEnd"/>
      <w:r w:rsidR="003421D9"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Να μετατραπεί ο πλάγιος λόγος σε ευθύ</w:t>
      </w:r>
    </w:p>
    <w:p w:rsidR="003421D9" w:rsidRPr="003421D9" w:rsidRDefault="003421D9" w:rsidP="003421D9">
      <w:pPr>
        <w:shd w:val="clear" w:color="auto" w:fill="FFFFFF"/>
        <w:spacing w:line="336" w:lineRule="atLeas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Urbs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Roma </w:t>
      </w:r>
      <w:proofErr w:type="gram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et</w:t>
      </w:r>
      <w:proofErr w:type="gram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Italia a Mario </w:t>
      </w:r>
      <w:proofErr w:type="spellStart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>conservata</w:t>
      </w:r>
      <w:proofErr w:type="spellEnd"/>
      <w:r w:rsidRPr="003421D9">
        <w:rPr>
          <w:rFonts w:ascii="Trebuchet MS" w:eastAsia="Times New Roman" w:hAnsi="Trebuchet MS" w:cs="Times New Roman"/>
          <w:bCs/>
          <w:color w:val="FF0000"/>
          <w:sz w:val="24"/>
          <w:szCs w:val="24"/>
          <w:lang w:val="en-US" w:eastAsia="el-GR"/>
        </w:rPr>
        <w:t xml:space="preserve"> est.</w:t>
      </w:r>
    </w:p>
    <w:p w:rsidR="003421D9" w:rsidRPr="003421D9" w:rsidRDefault="003421D9" w:rsidP="006D6C7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br/>
      </w:r>
      <w:r w:rsidR="006D6C7A" w:rsidRPr="006D6C7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ut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C.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Marius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… </w:t>
      </w:r>
      <w:proofErr w:type="spellStart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iudicaretur</w:t>
      </w:r>
      <w:proofErr w:type="spellEnd"/>
      <w:r w:rsidRPr="003421D9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α) να μεταφερθεί στην ενεργητική φωνή β) η νέα τελική πρόταση να μεταφερθεί σε άλλα είδη του σκοπού.</w:t>
      </w:r>
    </w:p>
    <w:p w:rsidR="003421D9" w:rsidRPr="003421D9" w:rsidRDefault="003421D9" w:rsidP="006D6C7A">
      <w:pPr>
        <w:shd w:val="clear" w:color="auto" w:fill="FFFFFF"/>
        <w:spacing w:line="336" w:lineRule="atLeast"/>
        <w:jc w:val="left"/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</w:pP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ut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C. </w:t>
      </w:r>
      <w:proofErr w:type="spellStart"/>
      <w:proofErr w:type="gram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quam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iudicaret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.</w:t>
      </w:r>
      <w:proofErr w:type="gram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(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senatus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: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Υπ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ενν</w:t>
      </w:r>
      <w:proofErr w:type="spellEnd"/>
      <w:proofErr w:type="gram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)</w:t>
      </w:r>
      <w:proofErr w:type="gram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bookmarkStart w:id="0" w:name="_GoBack"/>
      <w:bookmarkEnd w:id="0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β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Σκοπός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: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αναφορική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τελική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πρόταση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: 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qui C.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quam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iudicaret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σουπίνο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: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iudicatum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C.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quam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εμπρόθετο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γερούνδιο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(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causā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+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γενική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): C.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quam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iudicandi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causā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Υποχρεωτική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η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γερουνδιακή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έλξη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.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Μετά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την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έλξη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→</w:t>
      </w:r>
      <w:r w:rsidRPr="003421D9">
        <w:rPr>
          <w:rFonts w:ascii="Trebuchet MS" w:eastAsia="Times New Roman" w:hAnsi="Trebuchet MS" w:cs="Trebuchet MS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C.Marii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quam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hostis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iudicandi</w:t>
      </w:r>
      <w:proofErr w:type="spellEnd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causā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br/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εμπρόθετο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γερούνδιο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(ad +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αιτιατική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): </w:t>
      </w:r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ad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 C.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Marium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quam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celerrime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proofErr w:type="spellStart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hostem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</w:t>
      </w:r>
      <w:proofErr w:type="spellStart"/>
      <w:r w:rsidRPr="003421D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val="en-US" w:eastAsia="el-GR"/>
        </w:rPr>
        <w:t>iudicandum</w:t>
      </w:r>
      <w:proofErr w:type="spellEnd"/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 (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ίδιο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και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μετά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την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έλξη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,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που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είναι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 xml:space="preserve"> 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eastAsia="el-GR"/>
        </w:rPr>
        <w:t>υποχρεωτική</w:t>
      </w:r>
      <w:r w:rsidRPr="003421D9">
        <w:rPr>
          <w:rFonts w:ascii="Trebuchet MS" w:eastAsia="Times New Roman" w:hAnsi="Trebuchet MS" w:cs="Times New Roman"/>
          <w:color w:val="FF0000"/>
          <w:sz w:val="24"/>
          <w:szCs w:val="24"/>
          <w:lang w:val="en-US" w:eastAsia="el-GR"/>
        </w:rPr>
        <w:t>)</w:t>
      </w:r>
    </w:p>
    <w:p w:rsidR="003421D9" w:rsidRPr="006D6C7A" w:rsidRDefault="003421D9">
      <w:pPr>
        <w:rPr>
          <w:color w:val="FF0000"/>
          <w:lang w:val="en-US"/>
        </w:rPr>
      </w:pPr>
    </w:p>
    <w:sectPr w:rsidR="003421D9" w:rsidRPr="006D6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8B61DC"/>
    <w:multiLevelType w:val="multilevel"/>
    <w:tmpl w:val="E3D02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F524C"/>
    <w:multiLevelType w:val="multilevel"/>
    <w:tmpl w:val="EB9C8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0796C"/>
    <w:multiLevelType w:val="multilevel"/>
    <w:tmpl w:val="EC88D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470EE"/>
    <w:multiLevelType w:val="multilevel"/>
    <w:tmpl w:val="6398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C48BE"/>
    <w:multiLevelType w:val="multilevel"/>
    <w:tmpl w:val="BE0C7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3731E"/>
    <w:multiLevelType w:val="multilevel"/>
    <w:tmpl w:val="30048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91BCA"/>
    <w:multiLevelType w:val="multilevel"/>
    <w:tmpl w:val="B692A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03320"/>
    <w:multiLevelType w:val="multilevel"/>
    <w:tmpl w:val="FBE412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60C05FB"/>
    <w:multiLevelType w:val="multilevel"/>
    <w:tmpl w:val="46DA9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A6F56"/>
    <w:multiLevelType w:val="multilevel"/>
    <w:tmpl w:val="E9563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690E"/>
    <w:multiLevelType w:val="multilevel"/>
    <w:tmpl w:val="1CE04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21116"/>
    <w:multiLevelType w:val="multilevel"/>
    <w:tmpl w:val="792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41043"/>
    <w:multiLevelType w:val="multilevel"/>
    <w:tmpl w:val="FADC7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22274"/>
    <w:multiLevelType w:val="multilevel"/>
    <w:tmpl w:val="E39A3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25030"/>
    <w:multiLevelType w:val="multilevel"/>
    <w:tmpl w:val="F77A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5"/>
  </w:num>
  <w:num w:numId="13">
    <w:abstractNumId w:val="12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1"/>
    <w:rsid w:val="00025B2E"/>
    <w:rsid w:val="00121E8E"/>
    <w:rsid w:val="00181F84"/>
    <w:rsid w:val="00283E0E"/>
    <w:rsid w:val="002B7106"/>
    <w:rsid w:val="003421D9"/>
    <w:rsid w:val="003B2F7B"/>
    <w:rsid w:val="00602922"/>
    <w:rsid w:val="006D6C7A"/>
    <w:rsid w:val="00A4355D"/>
    <w:rsid w:val="00AD11D5"/>
    <w:rsid w:val="00B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AD1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paragraph" w:styleId="a3">
    <w:name w:val="List Paragraph"/>
    <w:basedOn w:val="a"/>
    <w:uiPriority w:val="34"/>
    <w:qFormat/>
    <w:rsid w:val="00AD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23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8525161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49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157665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9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6402898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47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274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968945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9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8911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165786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39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05239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449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58826966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058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9365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27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87885385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408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216620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8134706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70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89360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7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64557418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76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500261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878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6779347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7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461342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5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8976684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75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2566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901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7071568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496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9623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15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54169817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047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102272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499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6447753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08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889744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7156764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138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347653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496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41034640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76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12980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68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97125617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456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201777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112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3479546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17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586296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152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6703325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9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081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853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30902413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0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298338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399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0609198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60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8344568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45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8434609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43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89088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7945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07828632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742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12790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2021-12-28T18:41:00Z</dcterms:created>
  <dcterms:modified xsi:type="dcterms:W3CDTF">2021-12-28T18:41:00Z</dcterms:modified>
</cp:coreProperties>
</file>