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43" w:rsidRPr="001B3E43" w:rsidRDefault="001B3E43" w:rsidP="001B3E43">
      <w:pPr>
        <w:shd w:val="clear" w:color="auto" w:fill="FFFFFF"/>
        <w:spacing w:before="250" w:after="0" w:line="240" w:lineRule="auto"/>
        <w:jc w:val="center"/>
        <w:outlineLvl w:val="2"/>
        <w:rPr>
          <w:rFonts w:ascii="Roboto" w:eastAsia="Times New Roman" w:hAnsi="Roboto"/>
          <w:b/>
          <w:color w:val="333333"/>
          <w:sz w:val="30"/>
          <w:szCs w:val="30"/>
          <w:lang w:eastAsia="el-GR"/>
        </w:rPr>
      </w:pPr>
      <w:r w:rsidRPr="001B3E43">
        <w:rPr>
          <w:rFonts w:ascii="Roboto" w:eastAsia="Times New Roman" w:hAnsi="Roboto"/>
          <w:b/>
          <w:color w:val="4797DE"/>
          <w:sz w:val="30"/>
          <w:szCs w:val="30"/>
          <w:lang w:eastAsia="el-GR"/>
        </w:rPr>
        <w:t>Λυσίου </w:t>
      </w:r>
      <w:proofErr w:type="spellStart"/>
      <w:r w:rsidRPr="001B3E43">
        <w:rPr>
          <w:rFonts w:ascii="Roboto" w:eastAsia="Times New Roman" w:hAnsi="Roboto"/>
          <w:b/>
          <w:i/>
          <w:iCs/>
          <w:color w:val="4797DE"/>
          <w:sz w:val="30"/>
          <w:lang w:eastAsia="el-GR"/>
        </w:rPr>
        <w:t>Ὑπέρ</w:t>
      </w:r>
      <w:proofErr w:type="spellEnd"/>
      <w:r w:rsidRPr="001B3E43">
        <w:rPr>
          <w:rFonts w:ascii="Roboto" w:eastAsia="Times New Roman" w:hAnsi="Roboto"/>
          <w:b/>
          <w:i/>
          <w:iCs/>
          <w:color w:val="4797DE"/>
          <w:sz w:val="30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4797DE"/>
          <w:sz w:val="30"/>
          <w:lang w:eastAsia="el-GR"/>
        </w:rPr>
        <w:t>Μαντιθέου</w:t>
      </w:r>
      <w:proofErr w:type="spellEnd"/>
    </w:p>
    <w:p w:rsidR="001B3E43" w:rsidRPr="001B3E43" w:rsidRDefault="001B3E43" w:rsidP="001B3E43">
      <w:pPr>
        <w:shd w:val="clear" w:color="auto" w:fill="FFFFFF"/>
        <w:spacing w:before="250" w:after="0" w:line="240" w:lineRule="auto"/>
        <w:jc w:val="center"/>
        <w:outlineLvl w:val="2"/>
        <w:rPr>
          <w:rFonts w:ascii="Roboto" w:eastAsia="Times New Roman" w:hAnsi="Roboto"/>
          <w:b/>
          <w:color w:val="333333"/>
          <w:sz w:val="30"/>
          <w:szCs w:val="30"/>
          <w:lang w:eastAsia="el-GR"/>
        </w:rPr>
      </w:pPr>
      <w:r w:rsidRPr="001B3E43">
        <w:rPr>
          <w:rFonts w:ascii="Roboto" w:eastAsia="Times New Roman" w:hAnsi="Roboto"/>
          <w:b/>
          <w:color w:val="3A6E8A"/>
          <w:sz w:val="30"/>
          <w:lang w:eastAsia="el-GR"/>
        </w:rPr>
        <w:t>Προοίμιο Παράγραφος 2</w:t>
      </w:r>
    </w:p>
    <w:p w:rsidR="001B3E43" w:rsidRPr="001B3E43" w:rsidRDefault="001B3E43" w:rsidP="001B3E43">
      <w:pPr>
        <w:shd w:val="clear" w:color="auto" w:fill="FFFFFF"/>
        <w:spacing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</w:t>
      </w:r>
    </w:p>
    <w:p w:rsidR="001B3E43" w:rsidRPr="001B3E43" w:rsidRDefault="001B3E43" w:rsidP="001B3E43">
      <w:pPr>
        <w:shd w:val="clear" w:color="auto" w:fill="FFFFFF"/>
        <w:spacing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Ἐγὼ γὰρ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οὕτω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σφόδρα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ἐμαυτῷ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πιστεύω͵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ὥστ΄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ἐλπίζω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καὶ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εἴ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τις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πρός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με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τυγχάνει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ἀηδῶς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[ἢ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κακῶς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]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διακείμενος͵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ἐπειδὰν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ἐμοῦ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λέγοντος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ἀκούσῃ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περὶ τῶν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πεπραγμένων͵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μεταμελήσειν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αὐτῷ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καὶ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πολὺ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βελτίω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με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εἰς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τὸν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λοιπὸν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χρόνον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Γιατί εγώ έχω τόσο μεγάλη εμπιστοσύνη στον εαυτό μου, ώστε ελπίζω ακόμα και αν κάποιος έχει άσχημη ή εχθρική στάση απέναντί μου, αφού με ακούσει να μιλώ για τα πεπραγμένα, ότι θα αλλάξει γνώμη και θα με θεωρεί πολύ καλύτερο στην υπόλοιπη ζωή (του).</w:t>
      </w:r>
    </w:p>
    <w:p w:rsidR="001B3E43" w:rsidRPr="001B3E43" w:rsidRDefault="001B3E43" w:rsidP="001B3E43">
      <w:pPr>
        <w:shd w:val="clear" w:color="auto" w:fill="FFFFFF"/>
        <w:spacing w:line="240" w:lineRule="atLeast"/>
        <w:outlineLvl w:val="3"/>
        <w:rPr>
          <w:rFonts w:ascii="Roboto" w:eastAsia="Times New Roman" w:hAnsi="Roboto"/>
          <w:b/>
          <w:color w:val="333333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color w:val="333333"/>
          <w:sz w:val="20"/>
          <w:szCs w:val="20"/>
          <w:lang w:eastAsia="el-GR"/>
        </w:rPr>
        <w:t>Χρονικές αντικαταστάσεις</w:t>
      </w:r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πιστεύω</w:t>
      </w:r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ἐπίστευον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πιστεύσω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ἐπίστευσα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πεπίστευκα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ἐπεπιστεύκειν</w:t>
      </w:r>
      <w:proofErr w:type="spellEnd"/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ἐλπίζω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ἢλπιζον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ἐλπιῶ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ἢλπισα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ἢλπικα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ἠλπίκειν</w:t>
      </w:r>
      <w:proofErr w:type="spellEnd"/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τυγχάνει</w:t>
      </w:r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ἐτύγχανε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τεύξεται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ἒτυχε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τετύχηκε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ἐτετυχήκει</w:t>
      </w:r>
      <w:proofErr w:type="spellEnd"/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διατιθέμενος,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διαθησόμενος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διατεθησόμενος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 διαθεμένος, διατεθείς, διατεθειμένος, </w:t>
      </w: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διακείμενος</w:t>
      </w:r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λέγοντος</w:t>
      </w:r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 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λέξοντος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/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ἑροῦντος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λέξαντος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/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εἰπόντος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εἰρηκότος</w:t>
      </w:r>
      <w:proofErr w:type="spellEnd"/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ἀκούῃ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ἀκούσῃ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 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ἀκηκοώς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 ᾖ</w:t>
      </w:r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πραττομένων,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πραξομένων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/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πραχθησομένων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πραξαμένων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/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πραχθέντων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 </w:t>
      </w: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πεπραγ</w:t>
      </w: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softHyphen/>
        <w:t>μένων</w:t>
      </w:r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μεταμέλειν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μεταμελήσειν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μεταμελῆσαι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μεταμεμεληκέναι</w:t>
      </w:r>
      <w:proofErr w:type="spellEnd"/>
    </w:p>
    <w:p w:rsidR="001B3E43" w:rsidRPr="001B3E43" w:rsidRDefault="001B3E43" w:rsidP="001B3E43">
      <w:pPr>
        <w:numPr>
          <w:ilvl w:val="0"/>
          <w:numId w:val="1"/>
        </w:numPr>
        <w:shd w:val="clear" w:color="auto" w:fill="FFFFFF"/>
        <w:spacing w:before="100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ἡγεῖσθαι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,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ἡγήσεσθαι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/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ἡγηθήσεσθαι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ἡγήσασθαι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ἡγηθῆναι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ἡγῆσθαι</w:t>
      </w:r>
      <w:proofErr w:type="spellEnd"/>
    </w:p>
    <w:p w:rsidR="001B3E43" w:rsidRPr="001B3E43" w:rsidRDefault="001B3E43" w:rsidP="001B3E43">
      <w:pPr>
        <w:shd w:val="clear" w:color="auto" w:fill="FFFFFF"/>
        <w:spacing w:line="240" w:lineRule="atLeast"/>
        <w:outlineLvl w:val="3"/>
        <w:rPr>
          <w:rFonts w:ascii="Roboto" w:eastAsia="Times New Roman" w:hAnsi="Roboto"/>
          <w:b/>
          <w:color w:val="333333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color w:val="333333"/>
          <w:sz w:val="20"/>
          <w:szCs w:val="20"/>
          <w:lang w:eastAsia="el-GR"/>
        </w:rPr>
        <w:t>Εγκλιτικές αντικαταστάσεις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πιστεύω</w:t>
      </w:r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πιστεύω,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πιστεύοιμι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,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(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πιστεύειν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πιστεύων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)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ἐλπίζω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ἐλπίζω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ἐλπίζοιμι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,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(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ἐλπίζειν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ἐλπίζων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)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τυγχάνει</w:t>
      </w:r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τυγχάνῃ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τυγχάνοι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τυγχανέτω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,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(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τυγχάνειν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τυγχάνων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)</w:t>
      </w:r>
    </w:p>
    <w:p w:rsidR="001B3E43" w:rsidRPr="001B3E43" w:rsidRDefault="001B3E43" w:rsidP="001B3E43">
      <w:pPr>
        <w:shd w:val="clear" w:color="auto" w:fill="FFFFFF"/>
        <w:spacing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ἢκουσε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,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ἀκούσῃ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ἀκούσαι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/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ἀκούσειε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ἀκουσάτω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,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(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ἀκοῦσαι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,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ἀκούσας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)</w:t>
      </w:r>
    </w:p>
    <w:p w:rsidR="001B3E43" w:rsidRPr="001B3E43" w:rsidRDefault="001B3E43" w:rsidP="001B3E43">
      <w:pPr>
        <w:shd w:val="clear" w:color="auto" w:fill="FFFFFF"/>
        <w:spacing w:line="240" w:lineRule="atLeast"/>
        <w:outlineLvl w:val="3"/>
        <w:rPr>
          <w:rFonts w:ascii="Roboto" w:eastAsia="Times New Roman" w:hAnsi="Roboto"/>
          <w:b/>
          <w:color w:val="333333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color w:val="333333"/>
          <w:sz w:val="20"/>
          <w:szCs w:val="20"/>
          <w:lang w:eastAsia="el-GR"/>
        </w:rPr>
        <w:t>Συντακτική ανάλυση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ἐγὼ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γὰρ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οὕτω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σφόδρα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ἐμαυτῷ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πιστεύω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Κύρια πρόταση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πιστεύω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ρήμα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/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ἐγώ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υποκείμενο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/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ἐμαυτῷ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αντικείμενο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σφόδρα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επιρρηματικός προσδιορισμός του ποσού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πιστεύω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οὕτω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επιρρηματικός προσδιορισμός του ποσού στο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σφόδρα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ὥστ΄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ἐλπίζω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μεταμελήσειν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αὐτῷ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καὶ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πολὺ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βελτίω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με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εἰς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τὸν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λοιπὸν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χρόνον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Δευτερεύουσα επιρρηματική συμπερασματική πρόταση ως επιρρηματικός προσδιορισμός του αποτελέσματος στο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πιστεύω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της κύριας πρότασης που προηγείται.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ἐλπίζω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ρήμα/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ἐγώ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(ενν.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):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υποκείμενο/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μεταμελήσειν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 xml:space="preserve">αντικείμενο, ειδικό απαρέμφατο, με υποκείμενο το </w:t>
      </w:r>
      <w:proofErr w:type="spellStart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ομόρριζο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 xml:space="preserve"> αφηρημένο ουσιαστικό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μεταμέλειαν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(ετεροπροσωπία)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/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αὐτῷ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δοτική προσωπική στο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μεταμελήσειν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/ καὶ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αντικείμενο, ειδικό απαρέμφατο, με υποκείμενο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τινά (ενν.)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(ετεροπροσωπία)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/ με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αντικείμενο του απαρεμφάτου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/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βελτίω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κατηγορούμενο του αντικειμένου στο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πολὺ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επιρρηματικός προσδιορισμός του ποσού στο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βελτίω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εἰς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χρόνον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εμπρόθετος επιρρηματικός προσδιορισμός του χρόνου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τὸν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λοιπὸν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επιθετικός προσδιορισμός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χρόνον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δυνάμει του άρθρου.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καὶ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εἴ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τις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πρός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με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τυγχάνει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ἀηδῶς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[ἢ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κακῶς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]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διακείμενος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Δευτερεύουσα επιρρηματική εναντιωματική πρόταση ως επιρρηματικός προσδιορισμός της εναντίωσης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ἐλπίζω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 xml:space="preserve"> της δευτερεύουσας επιρρηματικής συμπερασματικής πρότασης που διακόπτει. Αποτελεί την υπόθεση 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lastRenderedPageBreak/>
        <w:t>εξαρτημένου υποθετικού λόγου με απόδοση τα απαρέμφατα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μεταμελήσειν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 καὶ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. Εκφράζει το πραγματικό. (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Υπόθεση: </w:t>
      </w:r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εἰ τυγχάνει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Απόδοση: 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μεταμελήσει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καὶ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ἡγήσεται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).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τυγχάνει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ρήμα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/τις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υποκείμενο /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διακείμενος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κατηγορηματική μετοχή με υποκείμενο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τις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ως κατηγορούμενο στο υποκείμενό της από το ρήμα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τυγχάνει.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ἀηδῶς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[ἢ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κακῶς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]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επιρρηματικοί προσδιορισμοί του τρόπου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διακείμενος</w:t>
      </w:r>
      <w:proofErr w:type="spellEnd"/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πρός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με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εμπρόθετος επιρρηματικός προσδιορισμός που δηλώνει εχθρική διάθεση στο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διακείμενος.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ἐπειδὰν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ἐμοῦ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λέγοντος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ἀκούσῃ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 περὶ τῶν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πεπραγμένων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 xml:space="preserve">Δευτερεύουσα επιρρηματική </w:t>
      </w:r>
      <w:proofErr w:type="spellStart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χρονικοϋποθετική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 xml:space="preserve"> πρόταση ως επιρρηματικός προσδιορισμός του χρόνου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ἐλπίζω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της δευτερεύουσας επιρρηματικής συμπερασματικής πρότασης που διακόπτει. Αποτελεί την υπόθεση εξαρτημένου υποθετικού λόγου με απόδοση τα απαρέμφατα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μεταμελήσειν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 καὶ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ἡγήσεσθαι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. Εκφράζει το προσδοκώμενο. (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Υπόθεση: </w:t>
      </w:r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ἂν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ἀκούση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 Απόδοση: 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μεταμελήσει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 xml:space="preserve"> καὶ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1"/>
          <w:lang w:eastAsia="el-GR"/>
        </w:rPr>
        <w:t>ἡγήσεται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).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ἀκούσῃ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ρήμα/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τίς 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(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ενν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):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υποκείμενο/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ἐμοῦ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αντικείμενο</w:t>
      </w:r>
      <w:bookmarkStart w:id="0" w:name="_ftnref1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fldChar w:fldCharType="begin"/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instrText xml:space="preserve"> HYPERLINK "https://filologika.gr/lykio/v-lykiou/prosanatolismou/mantitheos/mantitheos-paragrafos-2/" \l "_ftn1" </w:instrTex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fldChar w:fldCharType="separate"/>
      </w:r>
      <w:r w:rsidRPr="001B3E43">
        <w:rPr>
          <w:rFonts w:ascii="Roboto" w:eastAsia="Times New Roman" w:hAnsi="Roboto"/>
          <w:bCs w:val="0"/>
          <w:color w:val="37ABF6"/>
          <w:sz w:val="21"/>
          <w:u w:val="single"/>
          <w:lang w:eastAsia="el-GR"/>
        </w:rPr>
        <w:t>[1]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fldChar w:fldCharType="end"/>
      </w:r>
      <w:bookmarkEnd w:id="0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/ 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λέγοντος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κατηγορηματική μετοχή με υποκείμενο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ἐμοῦ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 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(</w:t>
      </w: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συνημμένη</w:t>
      </w:r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)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 ως κατηγορηματικός προσδιορισμός στο υποκείμενό της από το ρήμα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ἀκούσῃ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 xml:space="preserve">περὶ τῶν 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πεπραγμένων</w:t>
      </w:r>
      <w:proofErr w:type="spellEnd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: 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εμπρόθετος επιρρηματικός προσδιορισμός της αναφοράς στο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λέγοντος</w:t>
      </w:r>
      <w:proofErr w:type="spellEnd"/>
      <w:r w:rsidRPr="001B3E43">
        <w:rPr>
          <w:rFonts w:ascii="Roboto" w:eastAsia="Times New Roman" w:hAnsi="Roboto"/>
          <w:b/>
          <w:i/>
          <w:iCs/>
          <w:color w:val="111111"/>
          <w:sz w:val="21"/>
          <w:lang w:eastAsia="el-GR"/>
        </w:rPr>
        <w:t>.</w:t>
      </w:r>
    </w:p>
    <w:bookmarkStart w:id="1" w:name="_ftn1"/>
    <w:p w:rsidR="001B3E43" w:rsidRPr="001B3E43" w:rsidRDefault="001B3E43" w:rsidP="001B3E43">
      <w:pPr>
        <w:shd w:val="clear" w:color="auto" w:fill="FFFFFF"/>
        <w:spacing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fldChar w:fldCharType="begin"/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instrText xml:space="preserve"> HYPERLINK "https://filologika.gr/lykio/v-lykiou/prosanatolismou/mantitheos/mantitheos-paragrafos-2/" \l "_ftnref1" </w:instrTex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fldChar w:fldCharType="separate"/>
      </w:r>
      <w:r w:rsidRPr="001B3E43">
        <w:rPr>
          <w:rFonts w:ascii="Roboto" w:eastAsia="Times New Roman" w:hAnsi="Roboto"/>
          <w:bCs w:val="0"/>
          <w:color w:val="37ABF6"/>
          <w:sz w:val="21"/>
          <w:u w:val="single"/>
          <w:lang w:eastAsia="el-GR"/>
        </w:rPr>
        <w:t>[1]</w:t>
      </w: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fldChar w:fldCharType="end"/>
      </w:r>
      <w:bookmarkEnd w:id="1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 xml:space="preserve"> Δηλώνει άμεση </w:t>
      </w:r>
      <w:proofErr w:type="spellStart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αυτηκοΐα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.</w:t>
      </w:r>
    </w:p>
    <w:p w:rsidR="001B3E43" w:rsidRPr="001B3E43" w:rsidRDefault="001B3E43" w:rsidP="001B3E43">
      <w:pPr>
        <w:shd w:val="clear" w:color="auto" w:fill="FFFFFF"/>
        <w:spacing w:line="240" w:lineRule="atLeast"/>
        <w:outlineLvl w:val="3"/>
        <w:rPr>
          <w:rFonts w:ascii="Roboto" w:eastAsia="Times New Roman" w:hAnsi="Roboto"/>
          <w:b/>
          <w:color w:val="333333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/>
          <w:color w:val="333333"/>
          <w:sz w:val="20"/>
          <w:szCs w:val="20"/>
          <w:lang w:eastAsia="el-GR"/>
        </w:rPr>
        <w:t>Ερμηνευτικά Σχόλια</w:t>
      </w:r>
    </w:p>
    <w:p w:rsidR="001B3E43" w:rsidRPr="001B3E43" w:rsidRDefault="001B3E43" w:rsidP="001B3E43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 xml:space="preserve">Η κατηγορία εναντίον του </w:t>
      </w:r>
      <w:proofErr w:type="spellStart"/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Μαντιθέου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, ότι υπηρέτησε ως ιππέας την περίοδο των τριάκοντα, είναι βαρύτατη δεδομένου του μίσους που έτρεφαν όλοι οι δημοκρατικοί Αθηναίοι προς το ολιγαρχικό καθεστώς.</w:t>
      </w:r>
    </w:p>
    <w:p w:rsidR="001B3E43" w:rsidRPr="001B3E43" w:rsidRDefault="001B3E43" w:rsidP="001B3E43">
      <w:pPr>
        <w:shd w:val="clear" w:color="auto" w:fill="FFFFFF"/>
        <w:spacing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Με το προοίμιο πετυχαίνονται:</w:t>
      </w:r>
    </w:p>
    <w:p w:rsidR="001B3E43" w:rsidRPr="001B3E43" w:rsidRDefault="001B3E43" w:rsidP="001B3E43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η </w:t>
      </w:r>
      <w:proofErr w:type="spellStart"/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πρόσεξις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 xml:space="preserve">, εφόσον ο </w:t>
      </w:r>
      <w:proofErr w:type="spellStart"/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Μαντίθεος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 xml:space="preserve"> πρωτοτυπεί εκφράζοντας ευγνωμοσύνη προς τους κατηγόρους του και έτσι κερδίζει την προσοχή των βουλευτών,</w:t>
      </w:r>
    </w:p>
    <w:p w:rsidR="001B3E43" w:rsidRPr="001B3E43" w:rsidRDefault="001B3E43" w:rsidP="001B3E43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η </w:t>
      </w: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εύνοια</w:t>
      </w:r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, διότι εκφράζει μεγάλη εμπιστοσύνη στον εαυτό του και αναφέρεται σε θέματα που αφορούν στην συμμετοχή του στους δημοκρατικούς αγώνες των Αθηναίων,</w:t>
      </w:r>
    </w:p>
    <w:p w:rsidR="001B3E43" w:rsidRPr="001B3E43" w:rsidRDefault="001B3E43" w:rsidP="001B3E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και η </w:t>
      </w:r>
      <w:r w:rsidRPr="001B3E43">
        <w:rPr>
          <w:rFonts w:ascii="Roboto" w:eastAsia="Times New Roman" w:hAnsi="Roboto"/>
          <w:b/>
          <w:i/>
          <w:iCs/>
          <w:color w:val="111111"/>
          <w:sz w:val="20"/>
          <w:lang w:eastAsia="el-GR"/>
        </w:rPr>
        <w:t>ενημέρωση</w:t>
      </w:r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t> (κατατόπιση), εφόσον στο τέλος αναφέρεται συνοπτικά στο κατηγορητήριο λέγοντας πως στη συνέχεια θα ανασκευάσει τις κατηγορίες, ζητώντας παράλληλα από τους βουλευτές την έγκριση της βουλευτικής του εκλογής.</w:t>
      </w:r>
    </w:p>
    <w:p w:rsidR="001B3E43" w:rsidRPr="001B3E43" w:rsidRDefault="001B3E43" w:rsidP="001B3E43">
      <w:pPr>
        <w:shd w:val="clear" w:color="auto" w:fill="FFFFFF"/>
        <w:spacing w:after="0" w:line="240" w:lineRule="auto"/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</w:pPr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Σημεία στα οποία φαίνεται η </w:t>
      </w:r>
      <w:proofErr w:type="spellStart"/>
      <w:r w:rsidRPr="001B3E43">
        <w:rPr>
          <w:rFonts w:ascii="Roboto" w:eastAsia="Times New Roman" w:hAnsi="Roboto"/>
          <w:b/>
          <w:color w:val="111111"/>
          <w:sz w:val="21"/>
          <w:lang w:eastAsia="el-GR"/>
        </w:rPr>
        <w:t>πρόσεξις</w:t>
      </w:r>
      <w:proofErr w:type="spellEnd"/>
      <w:r w:rsidRPr="001B3E43">
        <w:rPr>
          <w:rFonts w:ascii="Roboto" w:eastAsia="Times New Roman" w:hAnsi="Roboto"/>
          <w:bCs w:val="0"/>
          <w:color w:val="111111"/>
          <w:sz w:val="21"/>
          <w:szCs w:val="21"/>
          <w:lang w:eastAsia="el-GR"/>
        </w:rPr>
        <w:t>:</w:t>
      </w:r>
    </w:p>
    <w:p w:rsidR="001B3E43" w:rsidRPr="001B3E43" w:rsidRDefault="001B3E43" w:rsidP="001B3E43">
      <w:pPr>
        <w:numPr>
          <w:ilvl w:val="0"/>
          <w:numId w:val="4"/>
        </w:numPr>
        <w:shd w:val="clear" w:color="auto" w:fill="FFFFFF"/>
        <w:spacing w:before="100" w:line="240" w:lineRule="auto"/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</w:pP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ἐγὼ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 γὰρ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οὕτω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σφόδρα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ἐμαυτῷ</w:t>
      </w:r>
      <w:proofErr w:type="spellEnd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 xml:space="preserve"> </w:t>
      </w:r>
      <w:proofErr w:type="spellStart"/>
      <w:r w:rsidRPr="001B3E43">
        <w:rPr>
          <w:rFonts w:ascii="Roboto" w:eastAsia="Times New Roman" w:hAnsi="Roboto"/>
          <w:bCs w:val="0"/>
          <w:i/>
          <w:iCs/>
          <w:color w:val="111111"/>
          <w:sz w:val="20"/>
          <w:lang w:eastAsia="el-GR"/>
        </w:rPr>
        <w:t>πιστεύω</w:t>
      </w:r>
      <w:proofErr w:type="spellEnd"/>
    </w:p>
    <w:p w:rsidR="00994481" w:rsidRDefault="001B3E43" w:rsidP="001B3E43">
      <w:r w:rsidRPr="001B3E43">
        <w:rPr>
          <w:rFonts w:ascii="Roboto" w:eastAsia="Times New Roman" w:hAnsi="Roboto"/>
          <w:bCs w:val="0"/>
          <w:color w:val="111111"/>
          <w:sz w:val="20"/>
          <w:szCs w:val="20"/>
          <w:lang w:eastAsia="el-GR"/>
        </w:rPr>
        <w:br/>
      </w:r>
    </w:p>
    <w:sectPr w:rsidR="00994481" w:rsidSect="00994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89"/>
    <w:multiLevelType w:val="multilevel"/>
    <w:tmpl w:val="8F50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535AD2"/>
    <w:multiLevelType w:val="multilevel"/>
    <w:tmpl w:val="C9C8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11E18"/>
    <w:multiLevelType w:val="multilevel"/>
    <w:tmpl w:val="512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93BA5"/>
    <w:multiLevelType w:val="multilevel"/>
    <w:tmpl w:val="C91E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3E43"/>
    <w:rsid w:val="001B3E43"/>
    <w:rsid w:val="00994481"/>
    <w:rsid w:val="009E7060"/>
    <w:rsid w:val="00C8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81"/>
  </w:style>
  <w:style w:type="paragraph" w:styleId="2">
    <w:name w:val="heading 2"/>
    <w:basedOn w:val="a"/>
    <w:link w:val="2Char"/>
    <w:uiPriority w:val="9"/>
    <w:qFormat/>
    <w:rsid w:val="001B3E43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B3E43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B3E43"/>
    <w:pPr>
      <w:spacing w:before="100" w:beforeAutospacing="1" w:after="100" w:afterAutospacing="1" w:line="240" w:lineRule="auto"/>
      <w:outlineLvl w:val="3"/>
    </w:pPr>
    <w:rPr>
      <w:rFonts w:eastAsia="Times New Roman"/>
      <w:b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B3E43"/>
    <w:rPr>
      <w:rFonts w:eastAsia="Times New Roman"/>
      <w:b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B3E43"/>
    <w:rPr>
      <w:rFonts w:eastAsia="Times New Roman"/>
      <w:b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B3E43"/>
    <w:rPr>
      <w:rFonts w:eastAsia="Times New Roman"/>
      <w:b/>
      <w:lang w:eastAsia="el-GR"/>
    </w:rPr>
  </w:style>
  <w:style w:type="character" w:styleId="a3">
    <w:name w:val="Emphasis"/>
    <w:basedOn w:val="a0"/>
    <w:uiPriority w:val="20"/>
    <w:qFormat/>
    <w:rsid w:val="001B3E43"/>
    <w:rPr>
      <w:i/>
      <w:iCs/>
    </w:rPr>
  </w:style>
  <w:style w:type="character" w:styleId="a4">
    <w:name w:val="Strong"/>
    <w:basedOn w:val="a0"/>
    <w:uiPriority w:val="22"/>
    <w:qFormat/>
    <w:rsid w:val="001B3E43"/>
    <w:rPr>
      <w:b/>
      <w:bCs/>
    </w:rPr>
  </w:style>
  <w:style w:type="paragraph" w:styleId="Web">
    <w:name w:val="Normal (Web)"/>
    <w:basedOn w:val="a"/>
    <w:uiPriority w:val="99"/>
    <w:semiHidden/>
    <w:unhideWhenUsed/>
    <w:rsid w:val="001B3E43"/>
    <w:pPr>
      <w:spacing w:before="100" w:beforeAutospacing="1" w:after="100" w:afterAutospacing="1" w:line="240" w:lineRule="auto"/>
    </w:pPr>
    <w:rPr>
      <w:rFonts w:eastAsia="Times New Roman"/>
      <w:bCs w:val="0"/>
      <w:lang w:eastAsia="el-GR"/>
    </w:rPr>
  </w:style>
  <w:style w:type="character" w:styleId="-">
    <w:name w:val="Hyperlink"/>
    <w:basedOn w:val="a0"/>
    <w:uiPriority w:val="99"/>
    <w:semiHidden/>
    <w:unhideWhenUsed/>
    <w:rsid w:val="001B3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28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232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34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298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88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348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470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946599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578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5437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9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873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90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9781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360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3878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33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6419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36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4760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578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K.P.</dc:creator>
  <cp:keywords/>
  <dc:description/>
  <cp:lastModifiedBy>K.P.</cp:lastModifiedBy>
  <cp:revision>2</cp:revision>
  <dcterms:created xsi:type="dcterms:W3CDTF">2020-10-15T17:18:00Z</dcterms:created>
  <dcterms:modified xsi:type="dcterms:W3CDTF">2020-10-15T17:20:00Z</dcterms:modified>
</cp:coreProperties>
</file>