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A12" w:rsidRPr="00C2509C" w:rsidRDefault="003F5FEA" w:rsidP="003F5FEA">
      <w:pPr>
        <w:jc w:val="center"/>
        <w:rPr>
          <w:b/>
          <w:color w:val="C00000"/>
          <w:sz w:val="28"/>
          <w:szCs w:val="28"/>
        </w:rPr>
      </w:pPr>
      <w:r w:rsidRPr="00C2509C">
        <w:rPr>
          <w:b/>
          <w:color w:val="C00000"/>
          <w:sz w:val="28"/>
          <w:szCs w:val="28"/>
        </w:rPr>
        <w:t>Τα Ευρωπαϊκά εκπαιδευτικά προγράμματα</w:t>
      </w:r>
    </w:p>
    <w:p w:rsidR="00000000" w:rsidRPr="003F5FEA" w:rsidRDefault="00C2509C" w:rsidP="003F5FEA">
      <w:pPr>
        <w:rPr>
          <w:sz w:val="26"/>
          <w:szCs w:val="26"/>
        </w:rPr>
      </w:pPr>
      <w:r w:rsidRPr="003F5FEA">
        <w:rPr>
          <w:b/>
          <w:bCs/>
          <w:sz w:val="26"/>
          <w:szCs w:val="26"/>
        </w:rPr>
        <w:t xml:space="preserve">ΠΡΩΤΟΒΟΥΛΙΑ </w:t>
      </w:r>
      <w:proofErr w:type="spellStart"/>
      <w:r w:rsidRPr="003F5FEA">
        <w:rPr>
          <w:b/>
          <w:bCs/>
          <w:sz w:val="26"/>
          <w:szCs w:val="26"/>
        </w:rPr>
        <w:t>eLEARNING</w:t>
      </w:r>
      <w:proofErr w:type="spellEnd"/>
      <w:r w:rsidRPr="003F5FEA">
        <w:rPr>
          <w:sz w:val="26"/>
          <w:szCs w:val="26"/>
        </w:rPr>
        <w:br/>
      </w:r>
      <w:r w:rsidRPr="003F5FEA">
        <w:rPr>
          <w:sz w:val="26"/>
          <w:szCs w:val="26"/>
        </w:rPr>
        <w:t xml:space="preserve">Η Πρωτοβουλία </w:t>
      </w:r>
      <w:proofErr w:type="spellStart"/>
      <w:r w:rsidRPr="003F5FEA">
        <w:rPr>
          <w:sz w:val="26"/>
          <w:szCs w:val="26"/>
        </w:rPr>
        <w:t>eLearning</w:t>
      </w:r>
      <w:proofErr w:type="spellEnd"/>
      <w:r w:rsidRPr="003F5FEA">
        <w:rPr>
          <w:sz w:val="26"/>
          <w:szCs w:val="26"/>
        </w:rPr>
        <w:t xml:space="preserve"> έχει σαν στόχο την βελτιστοποίηση της χρήσης των νέων τεχνολογιών πολυμέσων και του Διαδικτύου στη βελτίωση της ποιότητας της μάθησης διευκολύνοντας την πρόσβαση στα μέσα και τις υπηρεσίες και κάνοντας </w:t>
      </w:r>
      <w:r w:rsidRPr="003F5FEA">
        <w:rPr>
          <w:sz w:val="26"/>
          <w:szCs w:val="26"/>
        </w:rPr>
        <w:t>εφικτές τις εξ αποστάσεως ανταλλαγές και τη συνεργασία.</w:t>
      </w:r>
      <w:r w:rsidRPr="003F5FEA">
        <w:rPr>
          <w:b/>
          <w:bCs/>
          <w:sz w:val="26"/>
          <w:szCs w:val="26"/>
        </w:rPr>
        <w:t xml:space="preserve"> </w:t>
      </w:r>
    </w:p>
    <w:p w:rsidR="00000000" w:rsidRPr="003F5FEA" w:rsidRDefault="00C2509C" w:rsidP="003F5FEA">
      <w:pPr>
        <w:rPr>
          <w:sz w:val="26"/>
          <w:szCs w:val="26"/>
        </w:rPr>
      </w:pPr>
      <w:r w:rsidRPr="003F5FEA">
        <w:rPr>
          <w:b/>
          <w:bCs/>
          <w:sz w:val="26"/>
          <w:szCs w:val="26"/>
        </w:rPr>
        <w:t>ΠΡΟΓΡΑΜΜΑ e-LEARNING</w:t>
      </w:r>
      <w:r w:rsidRPr="003F5FEA">
        <w:rPr>
          <w:b/>
          <w:bCs/>
          <w:sz w:val="26"/>
          <w:szCs w:val="26"/>
        </w:rPr>
        <w:br/>
      </w:r>
      <w:r w:rsidRPr="003F5FEA">
        <w:rPr>
          <w:sz w:val="26"/>
          <w:szCs w:val="26"/>
        </w:rPr>
        <w:t xml:space="preserve">Ένα πρόγραμμα για την ουσιαστική ένταξη των Τεχνολογιών της Πληροφορίας και της Επικοινωνίας (ΤΠΕ) </w:t>
      </w:r>
      <w:r w:rsidRPr="003F5FEA">
        <w:rPr>
          <w:sz w:val="26"/>
          <w:szCs w:val="26"/>
        </w:rPr>
        <w:t>στα συστήματα εκπαίδευσης και κατάρτισης στην Ευρώπη (2004-2006).</w:t>
      </w:r>
    </w:p>
    <w:p w:rsidR="006D6DE3" w:rsidRPr="003F5FEA" w:rsidRDefault="006D6DE3" w:rsidP="006D6DE3">
      <w:pPr>
        <w:rPr>
          <w:sz w:val="26"/>
          <w:szCs w:val="26"/>
        </w:rPr>
      </w:pPr>
      <w:r w:rsidRPr="003F5FEA">
        <w:rPr>
          <w:b/>
          <w:bCs/>
          <w:sz w:val="26"/>
          <w:szCs w:val="26"/>
        </w:rPr>
        <w:t xml:space="preserve">COMENIUS </w:t>
      </w:r>
      <w:r w:rsidRPr="003F5FEA">
        <w:rPr>
          <w:b/>
          <w:bCs/>
          <w:sz w:val="26"/>
          <w:szCs w:val="26"/>
        </w:rPr>
        <w:br/>
      </w:r>
      <w:r w:rsidRPr="003F5FEA">
        <w:rPr>
          <w:sz w:val="26"/>
          <w:szCs w:val="26"/>
        </w:rPr>
        <w:t xml:space="preserve">Οι γενικοί στόχοι της ενέργειας </w:t>
      </w:r>
      <w:proofErr w:type="spellStart"/>
      <w:r w:rsidRPr="003F5FEA">
        <w:rPr>
          <w:sz w:val="26"/>
          <w:szCs w:val="26"/>
        </w:rPr>
        <w:t>Comenius</w:t>
      </w:r>
      <w:proofErr w:type="spellEnd"/>
      <w:r w:rsidRPr="003F5FEA">
        <w:rPr>
          <w:sz w:val="26"/>
          <w:szCs w:val="26"/>
        </w:rPr>
        <w:t xml:space="preserve"> επικεντρώνονται στην αναβάθμιση της ποιότητας και στην ενίσχυση της ευρωπαϊκής δραστηριότητας της σχολικής εκπαίδευσης - συγκεκριμένα με την ενθάρρυνση της υπερεθνικής συνεργασίας μεταξύ των σχολείων</w:t>
      </w:r>
      <w:r w:rsidR="003F5FEA">
        <w:rPr>
          <w:sz w:val="26"/>
          <w:szCs w:val="26"/>
        </w:rPr>
        <w:t xml:space="preserve"> </w:t>
      </w:r>
      <w:r w:rsidRPr="003F5FEA">
        <w:rPr>
          <w:sz w:val="26"/>
          <w:szCs w:val="26"/>
        </w:rPr>
        <w:t xml:space="preserve">- στη συμβολή στη βελτιωμένη επαγγελματική εξέλιξη του προσωπικού που ασχολείται άμεσα με τον τομέα της σχολικής εκπαίδευσης, καθώς και στην προώθηση της εκμάθησης γλωσσών και της διαπολιτισμικής διάστασης. </w:t>
      </w:r>
    </w:p>
    <w:p w:rsidR="006D6DE3" w:rsidRPr="003F5FEA" w:rsidRDefault="006D6DE3" w:rsidP="006D6DE3">
      <w:pPr>
        <w:rPr>
          <w:sz w:val="26"/>
          <w:szCs w:val="26"/>
        </w:rPr>
      </w:pPr>
      <w:r w:rsidRPr="003F5FEA">
        <w:rPr>
          <w:b/>
          <w:bCs/>
          <w:sz w:val="26"/>
          <w:szCs w:val="26"/>
        </w:rPr>
        <w:t xml:space="preserve">ERASMUS </w:t>
      </w:r>
      <w:r w:rsidRPr="003F5FEA">
        <w:rPr>
          <w:b/>
          <w:bCs/>
          <w:sz w:val="26"/>
          <w:szCs w:val="26"/>
        </w:rPr>
        <w:br/>
      </w:r>
      <w:r w:rsidRPr="003F5FEA">
        <w:rPr>
          <w:sz w:val="26"/>
          <w:szCs w:val="26"/>
        </w:rPr>
        <w:t xml:space="preserve">Η ενέργεια </w:t>
      </w:r>
      <w:proofErr w:type="spellStart"/>
      <w:r w:rsidRPr="003F5FEA">
        <w:rPr>
          <w:sz w:val="26"/>
          <w:szCs w:val="26"/>
        </w:rPr>
        <w:t>Erasmus</w:t>
      </w:r>
      <w:proofErr w:type="spellEnd"/>
      <w:r w:rsidRPr="003F5FEA">
        <w:rPr>
          <w:sz w:val="26"/>
          <w:szCs w:val="26"/>
        </w:rPr>
        <w:t xml:space="preserve"> στοχεύει στη βελτίωση της ποιότητας της εκπαίδευσης και στην προώθηση της ευρωπαϊκής διάστασης της τριτοβάθμιας εκπαίδευσης με την προώθηση της κινητικότητας μεταξύ των Ευρωπαϊκών χωρών και την ενθάρρυνση της υπερεθνικής συνεργασίας μεταξύ των πανεπιστημίων. </w:t>
      </w:r>
    </w:p>
    <w:p w:rsidR="006D6DE3" w:rsidRPr="003F5FEA" w:rsidRDefault="006D6DE3" w:rsidP="006D6DE3">
      <w:pPr>
        <w:rPr>
          <w:sz w:val="26"/>
          <w:szCs w:val="26"/>
        </w:rPr>
      </w:pPr>
      <w:r w:rsidRPr="003F5FEA">
        <w:rPr>
          <w:b/>
          <w:bCs/>
          <w:sz w:val="26"/>
          <w:szCs w:val="26"/>
        </w:rPr>
        <w:t xml:space="preserve">GRUNDTVIG </w:t>
      </w:r>
      <w:r w:rsidRPr="003F5FEA">
        <w:rPr>
          <w:b/>
          <w:bCs/>
          <w:sz w:val="26"/>
          <w:szCs w:val="26"/>
        </w:rPr>
        <w:br/>
      </w:r>
      <w:r w:rsidRPr="003F5FEA">
        <w:rPr>
          <w:sz w:val="26"/>
          <w:szCs w:val="26"/>
        </w:rPr>
        <w:t xml:space="preserve">Η ενέργεια </w:t>
      </w:r>
      <w:proofErr w:type="spellStart"/>
      <w:r w:rsidRPr="003F5FEA">
        <w:rPr>
          <w:sz w:val="26"/>
          <w:szCs w:val="26"/>
        </w:rPr>
        <w:t>Grundtvig</w:t>
      </w:r>
      <w:proofErr w:type="spellEnd"/>
      <w:r w:rsidRPr="003F5FEA">
        <w:rPr>
          <w:sz w:val="26"/>
          <w:szCs w:val="26"/>
        </w:rPr>
        <w:t xml:space="preserve"> στοχεύει στη βελτίωση της ποιότητας, της ευρωπαϊκής διάστασης, της προσφοράς και της προσβασιμότητας της δια βίου μάθησης μέσω της εκπαίδευσης των ενηλίκων με την ευρύτερη έννοια, στην αναβάθμιση των εκπαιδευτικών δυνατοτήτων που προσφέρονται σε αυτούς που εγκαταλείπουν το σχολείο χωρίς να αποκτούν τα βασικά τυπικά προσόντα, καθώς και στην ενθάρρυνση της καινοτομίας σε ό,</w:t>
      </w:r>
      <w:r w:rsidR="005F4AC2">
        <w:rPr>
          <w:sz w:val="26"/>
          <w:szCs w:val="26"/>
        </w:rPr>
        <w:t xml:space="preserve"> </w:t>
      </w:r>
      <w:r w:rsidRPr="003F5FEA">
        <w:rPr>
          <w:sz w:val="26"/>
          <w:szCs w:val="26"/>
        </w:rPr>
        <w:t xml:space="preserve">τι αφορά τις εναλλακτικές εκπαιδευτικές οδούς. </w:t>
      </w:r>
    </w:p>
    <w:p w:rsidR="006D6DE3" w:rsidRPr="003F5FEA" w:rsidRDefault="006D6DE3" w:rsidP="006D6DE3">
      <w:pPr>
        <w:rPr>
          <w:sz w:val="26"/>
          <w:szCs w:val="26"/>
        </w:rPr>
      </w:pPr>
      <w:r w:rsidRPr="003F5FEA">
        <w:rPr>
          <w:b/>
          <w:bCs/>
          <w:sz w:val="26"/>
          <w:szCs w:val="26"/>
        </w:rPr>
        <w:t xml:space="preserve">LINGUA </w:t>
      </w:r>
      <w:r w:rsidRPr="003F5FEA">
        <w:rPr>
          <w:b/>
          <w:bCs/>
          <w:sz w:val="26"/>
          <w:szCs w:val="26"/>
        </w:rPr>
        <w:br/>
      </w:r>
      <w:r w:rsidRPr="003F5FEA">
        <w:rPr>
          <w:sz w:val="26"/>
          <w:szCs w:val="26"/>
        </w:rPr>
        <w:t xml:space="preserve">Η ενέργεια LINGUA καλύπτει όλους τους εκπαιδευτικούς τομείς, συμπεριλαμβανομένης της προσχολικής εκπαίδευσης και της εκπαίδευσης ενηλίκων, και αποβλέπει στην εύνοια της γλωσσικής ποικιλομορφίας στην ΕΕ, στη βελτίωση της ποιότητας της διδασκαλίας των γλωσσών και στη διευκόλυνση της πρόσβασης των ατόμων στους γλωσσικούς εκπαιδευτικούς πόρους. </w:t>
      </w:r>
    </w:p>
    <w:p w:rsidR="006D6DE3" w:rsidRPr="003F5FEA" w:rsidRDefault="006D6DE3" w:rsidP="006D6DE3">
      <w:pPr>
        <w:rPr>
          <w:sz w:val="26"/>
          <w:szCs w:val="26"/>
        </w:rPr>
      </w:pPr>
      <w:r w:rsidRPr="003F5FEA">
        <w:rPr>
          <w:b/>
          <w:bCs/>
          <w:sz w:val="26"/>
          <w:szCs w:val="26"/>
        </w:rPr>
        <w:t xml:space="preserve">MINERVA </w:t>
      </w:r>
      <w:r w:rsidRPr="003F5FEA">
        <w:rPr>
          <w:b/>
          <w:bCs/>
          <w:sz w:val="26"/>
          <w:szCs w:val="26"/>
        </w:rPr>
        <w:br/>
      </w:r>
      <w:r w:rsidRPr="003F5FEA">
        <w:rPr>
          <w:sz w:val="26"/>
          <w:szCs w:val="26"/>
        </w:rPr>
        <w:t xml:space="preserve">Η ενέργεια MINERVA καλύπτει όλους τους εκπαιδευτικούς τομείς και αφορά την ενθάρρυνση της συνεργασίας σε ευρωπαϊκό επίπεδο στον τομέα της χρήσης των τεχνολογιών της πληροφορίας και της επικοινωνίας στην εκπαίδευση, καθώς και την προώθηση της ανοιχτής και της εξ αποστάσεως εκπαίδευσης (ΑΑΕ). </w:t>
      </w:r>
    </w:p>
    <w:p w:rsidR="006D6DE3" w:rsidRPr="003F5FEA" w:rsidRDefault="006D6DE3" w:rsidP="006D6DE3">
      <w:pPr>
        <w:rPr>
          <w:sz w:val="26"/>
          <w:szCs w:val="26"/>
        </w:rPr>
      </w:pPr>
      <w:r w:rsidRPr="003F5FEA">
        <w:rPr>
          <w:b/>
          <w:bCs/>
          <w:sz w:val="26"/>
          <w:szCs w:val="26"/>
        </w:rPr>
        <w:t>ΠΑΡΑΤΗΡΗΣΗ ΚΑΙ ΚΑΙΝΟΤΟΜΙΑ</w:t>
      </w:r>
      <w:r w:rsidRPr="003F5FEA">
        <w:rPr>
          <w:b/>
          <w:bCs/>
          <w:sz w:val="26"/>
          <w:szCs w:val="26"/>
        </w:rPr>
        <w:br/>
      </w:r>
      <w:r w:rsidRPr="003F5FEA">
        <w:rPr>
          <w:sz w:val="26"/>
          <w:szCs w:val="26"/>
        </w:rPr>
        <w:t xml:space="preserve">Ενέργεια για την αναβάθμιση και προώθηση της ανταλλαγής πληροφοριών και εμπειριών στον κλάδο της εκπαίδευσης μεταξύ των χωρών που συμμετέχουν στο πρόγραμμα ΣΩΚΡΑΤΗΣ. </w:t>
      </w:r>
    </w:p>
    <w:p w:rsidR="006D6DE3" w:rsidRPr="003F5FEA" w:rsidRDefault="006D6DE3" w:rsidP="006D6DE3">
      <w:pPr>
        <w:rPr>
          <w:sz w:val="26"/>
          <w:szCs w:val="26"/>
        </w:rPr>
      </w:pPr>
      <w:r w:rsidRPr="003F5FEA">
        <w:rPr>
          <w:b/>
          <w:bCs/>
          <w:sz w:val="26"/>
          <w:szCs w:val="26"/>
        </w:rPr>
        <w:lastRenderedPageBreak/>
        <w:t xml:space="preserve">LEONARDO DA VINCI </w:t>
      </w:r>
      <w:r w:rsidRPr="003F5FEA">
        <w:rPr>
          <w:b/>
          <w:bCs/>
          <w:sz w:val="26"/>
          <w:szCs w:val="26"/>
        </w:rPr>
        <w:br/>
      </w:r>
      <w:r w:rsidRPr="003F5FEA">
        <w:rPr>
          <w:sz w:val="26"/>
          <w:szCs w:val="26"/>
        </w:rPr>
        <w:t xml:space="preserve">Το Πρόγραμμα </w:t>
      </w:r>
      <w:proofErr w:type="spellStart"/>
      <w:r w:rsidRPr="003F5FEA">
        <w:rPr>
          <w:sz w:val="26"/>
          <w:szCs w:val="26"/>
        </w:rPr>
        <w:t>Leonardo</w:t>
      </w:r>
      <w:proofErr w:type="spellEnd"/>
      <w:r w:rsidRPr="003F5FEA">
        <w:rPr>
          <w:sz w:val="26"/>
          <w:szCs w:val="26"/>
        </w:rPr>
        <w:t xml:space="preserve"> συμβάλλει στην εφαρμογή της πολιτικής επαγγελματικής κατάρτισης και στοχεύει στη βελτίωση των δεξιοτήτων και των προσόντων των ατόμων, μέσω της βελτίωσης της ποιότητας και της πρόσβασης της συνεχούς επαγγελματικής κατάρτισης και της δια βίου απόκτησης δεξιοτήτων και προσόντων.</w:t>
      </w:r>
    </w:p>
    <w:p w:rsidR="006D6DE3" w:rsidRPr="003F5FEA" w:rsidRDefault="006D6DE3" w:rsidP="006D6DE3">
      <w:pPr>
        <w:rPr>
          <w:sz w:val="26"/>
          <w:szCs w:val="26"/>
        </w:rPr>
      </w:pPr>
      <w:r w:rsidRPr="003F5FEA">
        <w:rPr>
          <w:b/>
          <w:bCs/>
          <w:sz w:val="26"/>
          <w:szCs w:val="26"/>
        </w:rPr>
        <w:t>TEMPUS III</w:t>
      </w:r>
      <w:r w:rsidRPr="003F5FEA">
        <w:rPr>
          <w:b/>
          <w:bCs/>
          <w:sz w:val="26"/>
          <w:szCs w:val="26"/>
        </w:rPr>
        <w:br/>
      </w:r>
      <w:r w:rsidRPr="003F5FEA">
        <w:rPr>
          <w:sz w:val="26"/>
          <w:szCs w:val="26"/>
        </w:rPr>
        <w:t>Προώθηση της ανάπτυξης των συστημάτων τριτοβάθμιας εκπαίδευσης στις επιλέξιμες χώρες μέσω μιας όσο το δυνατό περισσότερο ισορροπημένης συνεργασίας με εταίρους από όλα τα κράτη μέλη της Κοινότητας.</w:t>
      </w:r>
    </w:p>
    <w:p w:rsidR="006D6DE3" w:rsidRPr="003F5FEA" w:rsidRDefault="006D6DE3" w:rsidP="006D6DE3">
      <w:pPr>
        <w:rPr>
          <w:sz w:val="26"/>
          <w:szCs w:val="26"/>
        </w:rPr>
      </w:pPr>
      <w:r w:rsidRPr="003F5FEA">
        <w:rPr>
          <w:b/>
          <w:bCs/>
          <w:sz w:val="26"/>
          <w:szCs w:val="26"/>
        </w:rPr>
        <w:t>ERASMUS MUNDUS</w:t>
      </w:r>
      <w:r w:rsidRPr="003F5FEA">
        <w:rPr>
          <w:b/>
          <w:bCs/>
          <w:sz w:val="26"/>
          <w:szCs w:val="26"/>
        </w:rPr>
        <w:br/>
      </w:r>
      <w:r w:rsidRPr="003F5FEA">
        <w:rPr>
          <w:sz w:val="26"/>
          <w:szCs w:val="26"/>
        </w:rPr>
        <w:t xml:space="preserve">Το πρόγραμμα </w:t>
      </w:r>
      <w:r w:rsidRPr="003F5FEA">
        <w:rPr>
          <w:sz w:val="26"/>
          <w:szCs w:val="26"/>
          <w:lang w:val="en-US"/>
        </w:rPr>
        <w:t>Erasmus</w:t>
      </w:r>
      <w:r w:rsidRPr="003F5FEA">
        <w:rPr>
          <w:sz w:val="26"/>
          <w:szCs w:val="26"/>
        </w:rPr>
        <w:t xml:space="preserve"> </w:t>
      </w:r>
      <w:proofErr w:type="spellStart"/>
      <w:r w:rsidRPr="003F5FEA">
        <w:rPr>
          <w:sz w:val="26"/>
          <w:szCs w:val="26"/>
          <w:lang w:val="en-US"/>
        </w:rPr>
        <w:t>Mundus</w:t>
      </w:r>
      <w:proofErr w:type="spellEnd"/>
      <w:r w:rsidRPr="003F5FEA">
        <w:rPr>
          <w:sz w:val="26"/>
          <w:szCs w:val="26"/>
        </w:rPr>
        <w:t xml:space="preserve"> αποτελεί απόκριση στις προκλήσεις που παρουσιάστηκαν κατά το Ευρωπαϊκό Συμβούλιο της Λισσαβόνας (23 και 24 Μαρτίου 2000) και της Μπολόνιας (19 Ιουνίου 1999) που αφορούν αντιστοίχως αφενός την ανάγκη για προσαρμογή των ευρωπαϊκών εκπαιδευτικών συστημάτων και των συστημάτων επαγγελματικής κατάρτισης στις ανάγκες της κοινωνίας της γνώσης, και αφετέρου, την εξασφάλιση ότι το ευρωπαϊκό σύστημα τριτοβάθμιας εκπαίδευσης θα αποκτήσει παγκόσμια ελκυστικότητα ανάλογη με τα μεγάλα πολιτιστικά και επιστημονικά επιτεύγματα της Ευρώπης.</w:t>
      </w:r>
    </w:p>
    <w:p w:rsidR="006D6DE3" w:rsidRPr="003F5FEA" w:rsidRDefault="006D6DE3" w:rsidP="006D6DE3">
      <w:pPr>
        <w:rPr>
          <w:sz w:val="26"/>
          <w:szCs w:val="26"/>
        </w:rPr>
      </w:pPr>
      <w:proofErr w:type="spellStart"/>
      <w:r w:rsidRPr="003F5FEA">
        <w:rPr>
          <w:b/>
          <w:bCs/>
          <w:sz w:val="26"/>
          <w:szCs w:val="26"/>
        </w:rPr>
        <w:t>eTEN</w:t>
      </w:r>
      <w:proofErr w:type="spellEnd"/>
      <w:r w:rsidRPr="003F5FEA">
        <w:rPr>
          <w:b/>
          <w:bCs/>
          <w:sz w:val="26"/>
          <w:szCs w:val="26"/>
        </w:rPr>
        <w:br/>
      </w:r>
      <w:r w:rsidRPr="003F5FEA">
        <w:rPr>
          <w:sz w:val="26"/>
          <w:szCs w:val="26"/>
        </w:rPr>
        <w:t xml:space="preserve">Το πρόγραμμα αυτό επικεντρώνεται στις υπηρεσίες για δίκτυα τηλεπικοινωνιών και υποστηρίζει την επικύρωση για την αγορά και την αρχική εφαρμογή των υπηρεσιών κατάρτισης και απασχόλησης, ή των υπηρεσιών πολιτισμού. </w:t>
      </w:r>
    </w:p>
    <w:p w:rsidR="006D6DE3" w:rsidRPr="003F5FEA" w:rsidRDefault="006D6DE3" w:rsidP="006D6DE3">
      <w:pPr>
        <w:rPr>
          <w:sz w:val="26"/>
          <w:szCs w:val="26"/>
        </w:rPr>
      </w:pPr>
      <w:r w:rsidRPr="003F5FEA">
        <w:rPr>
          <w:b/>
          <w:bCs/>
          <w:sz w:val="26"/>
          <w:szCs w:val="26"/>
        </w:rPr>
        <w:t xml:space="preserve">EQUAL </w:t>
      </w:r>
      <w:r w:rsidRPr="003F5FEA">
        <w:rPr>
          <w:b/>
          <w:bCs/>
          <w:sz w:val="26"/>
          <w:szCs w:val="26"/>
        </w:rPr>
        <w:br/>
      </w:r>
      <w:r w:rsidRPr="003F5FEA">
        <w:rPr>
          <w:sz w:val="26"/>
          <w:szCs w:val="26"/>
        </w:rPr>
        <w:t>Η πρωτοβουλία EQUAL του ΕΚΤ για την Κοινότητα των Ανθρώπινων Πόρων είναι ένα πειραματικό πρόγραμμα ώστε να δοκιμαστούν νέοι τρόποι για την καταπολέμηση των διακρίσεων και της ανισότητας που αντιμετωπίζουν αυτοί που εργάζονται και αυτοί που αναζητούν εργασία. Η θεματική περιοχή "Προσαρμογή στις Αλλαγές και τις ΝΤΠ" αφορούν κυρίως την e-</w:t>
      </w:r>
      <w:proofErr w:type="spellStart"/>
      <w:r w:rsidRPr="003F5FEA">
        <w:rPr>
          <w:sz w:val="26"/>
          <w:szCs w:val="26"/>
        </w:rPr>
        <w:t>learning.</w:t>
      </w:r>
      <w:proofErr w:type="spellEnd"/>
      <w:r w:rsidRPr="003F5FEA">
        <w:rPr>
          <w:sz w:val="26"/>
          <w:szCs w:val="26"/>
        </w:rPr>
        <w:t xml:space="preserve"> </w:t>
      </w:r>
    </w:p>
    <w:p w:rsidR="006D6DE3" w:rsidRPr="003F5FEA" w:rsidRDefault="006D6DE3" w:rsidP="006D6DE3">
      <w:pPr>
        <w:rPr>
          <w:sz w:val="26"/>
          <w:szCs w:val="26"/>
        </w:rPr>
      </w:pPr>
      <w:r w:rsidRPr="003F5FEA">
        <w:rPr>
          <w:b/>
          <w:bCs/>
          <w:sz w:val="26"/>
          <w:szCs w:val="26"/>
        </w:rPr>
        <w:t>RISI</w:t>
      </w:r>
      <w:r w:rsidRPr="003F5FEA">
        <w:rPr>
          <w:b/>
          <w:bCs/>
          <w:sz w:val="26"/>
          <w:szCs w:val="26"/>
        </w:rPr>
        <w:br/>
      </w:r>
      <w:r w:rsidRPr="003F5FEA">
        <w:rPr>
          <w:sz w:val="26"/>
          <w:szCs w:val="26"/>
        </w:rPr>
        <w:t xml:space="preserve">Ο στόχος του πρότυπου σχεδίου RISI είναι η ενσωμάτωση της έννοιας της κοινωνίας της πληροφορίας στην περιφερειακή και την τοπική ανάπτυξη και στις πολιτικές απασχόλησης των λιγότερο ευνοημένων περιφερειών (ΛΕΠ) της ΕΕ. </w:t>
      </w:r>
    </w:p>
    <w:p w:rsidR="006D6DE3" w:rsidRPr="003F5FEA" w:rsidRDefault="006D6DE3" w:rsidP="006D6DE3">
      <w:pPr>
        <w:rPr>
          <w:sz w:val="26"/>
          <w:szCs w:val="26"/>
        </w:rPr>
      </w:pPr>
      <w:proofErr w:type="spellStart"/>
      <w:r w:rsidRPr="003F5FEA">
        <w:rPr>
          <w:b/>
          <w:bCs/>
          <w:sz w:val="26"/>
          <w:szCs w:val="26"/>
        </w:rPr>
        <w:t>eCONTENT</w:t>
      </w:r>
      <w:proofErr w:type="spellEnd"/>
      <w:r w:rsidRPr="003F5FEA">
        <w:rPr>
          <w:b/>
          <w:bCs/>
          <w:sz w:val="26"/>
          <w:szCs w:val="26"/>
        </w:rPr>
        <w:t xml:space="preserve"> </w:t>
      </w:r>
      <w:r w:rsidRPr="003F5FEA">
        <w:rPr>
          <w:b/>
          <w:bCs/>
          <w:sz w:val="26"/>
          <w:szCs w:val="26"/>
        </w:rPr>
        <w:br/>
      </w:r>
      <w:r w:rsidRPr="003F5FEA">
        <w:rPr>
          <w:sz w:val="26"/>
          <w:szCs w:val="26"/>
        </w:rPr>
        <w:t xml:space="preserve">Το πρόγραμμα αυτό διεγείρει την ανάπτυξη και χρήση Ευρωπαϊκού ψηφιακού περιεχομένου στα δίκτυα και προωθεί την γλωσσική διαφοροποίηση στην Κοινωνία της Πληροφορίας. </w:t>
      </w:r>
    </w:p>
    <w:p w:rsidR="006D6DE3" w:rsidRDefault="006D6DE3" w:rsidP="006D6DE3">
      <w:pPr>
        <w:rPr>
          <w:sz w:val="26"/>
          <w:szCs w:val="26"/>
        </w:rPr>
      </w:pPr>
      <w:r w:rsidRPr="003F5FEA">
        <w:rPr>
          <w:b/>
          <w:bCs/>
          <w:sz w:val="26"/>
          <w:szCs w:val="26"/>
        </w:rPr>
        <w:t xml:space="preserve">MEDIA PLUS </w:t>
      </w:r>
      <w:r w:rsidRPr="003F5FEA">
        <w:rPr>
          <w:b/>
          <w:bCs/>
          <w:sz w:val="26"/>
          <w:szCs w:val="26"/>
        </w:rPr>
        <w:br/>
      </w:r>
      <w:r w:rsidRPr="003F5FEA">
        <w:rPr>
          <w:sz w:val="26"/>
          <w:szCs w:val="26"/>
        </w:rPr>
        <w:t>Το πρόγραμμα αυτό στοχεύει να ενισχύσει την ανταγωνιστικότητα της ευρωπαϊκής οπτικοακουστικής βιομηχανίας, ιδίως την κυκλοφορία των οπτικοακουστικών έργων που παράγονται στα κράτη μέλη.</w:t>
      </w:r>
    </w:p>
    <w:p w:rsidR="006D6DE3" w:rsidRPr="006D6DE3" w:rsidRDefault="003F5FEA" w:rsidP="005547A2">
      <w:pPr>
        <w:jc w:val="both"/>
      </w:pPr>
      <w:r w:rsidRPr="005F4AC2">
        <w:rPr>
          <w:b/>
          <w:color w:val="C00000"/>
          <w:sz w:val="26"/>
          <w:szCs w:val="26"/>
          <w:u w:val="single"/>
        </w:rPr>
        <w:t>Εργασία</w:t>
      </w:r>
      <w:r>
        <w:rPr>
          <w:b/>
          <w:sz w:val="26"/>
          <w:szCs w:val="26"/>
        </w:rPr>
        <w:t xml:space="preserve">: </w:t>
      </w:r>
      <w:r w:rsidRPr="003F5FEA">
        <w:rPr>
          <w:sz w:val="26"/>
          <w:szCs w:val="26"/>
        </w:rPr>
        <w:t>Με βάση</w:t>
      </w:r>
      <w:r>
        <w:rPr>
          <w:b/>
          <w:sz w:val="26"/>
          <w:szCs w:val="26"/>
        </w:rPr>
        <w:t xml:space="preserve"> </w:t>
      </w:r>
      <w:r>
        <w:rPr>
          <w:sz w:val="26"/>
          <w:szCs w:val="26"/>
        </w:rPr>
        <w:t xml:space="preserve">τη σύντομη περιγραφή όλων των προγραμμάτων, που προηγήθηκε, να συντάξετε σε ενιαίο κατάλογο τους στόχους των ευρωπαϊκών εκπαιδευτικών προγραμμάτων και να αξιολογήσετε τη </w:t>
      </w:r>
      <w:r w:rsidR="003132AE">
        <w:rPr>
          <w:sz w:val="26"/>
          <w:szCs w:val="26"/>
        </w:rPr>
        <w:t>σημασία</w:t>
      </w:r>
      <w:r>
        <w:rPr>
          <w:sz w:val="26"/>
          <w:szCs w:val="26"/>
        </w:rPr>
        <w:t xml:space="preserve"> τους. </w:t>
      </w:r>
    </w:p>
    <w:p w:rsidR="006D6DE3" w:rsidRDefault="006D6DE3"/>
    <w:sectPr w:rsidR="006D6DE3" w:rsidSect="006D6DE3">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0D7806"/>
    <w:multiLevelType w:val="hybridMultilevel"/>
    <w:tmpl w:val="87A08D42"/>
    <w:lvl w:ilvl="0" w:tplc="C480EDCA">
      <w:start w:val="1"/>
      <w:numFmt w:val="bullet"/>
      <w:lvlText w:val="•"/>
      <w:lvlJc w:val="left"/>
      <w:pPr>
        <w:tabs>
          <w:tab w:val="num" w:pos="360"/>
        </w:tabs>
        <w:ind w:left="360" w:hanging="360"/>
      </w:pPr>
      <w:rPr>
        <w:rFonts w:ascii="Times New Roman" w:hAnsi="Times New Roman" w:hint="default"/>
      </w:rPr>
    </w:lvl>
    <w:lvl w:ilvl="1" w:tplc="F9DAE2A6">
      <w:start w:val="492"/>
      <w:numFmt w:val="bullet"/>
      <w:lvlText w:val="•"/>
      <w:lvlJc w:val="left"/>
      <w:pPr>
        <w:tabs>
          <w:tab w:val="num" w:pos="1080"/>
        </w:tabs>
        <w:ind w:left="1080" w:hanging="360"/>
      </w:pPr>
      <w:rPr>
        <w:rFonts w:ascii="Times New Roman" w:hAnsi="Times New Roman" w:hint="default"/>
      </w:rPr>
    </w:lvl>
    <w:lvl w:ilvl="2" w:tplc="804A0B24" w:tentative="1">
      <w:start w:val="1"/>
      <w:numFmt w:val="bullet"/>
      <w:lvlText w:val="•"/>
      <w:lvlJc w:val="left"/>
      <w:pPr>
        <w:tabs>
          <w:tab w:val="num" w:pos="1800"/>
        </w:tabs>
        <w:ind w:left="1800" w:hanging="360"/>
      </w:pPr>
      <w:rPr>
        <w:rFonts w:ascii="Times New Roman" w:hAnsi="Times New Roman" w:hint="default"/>
      </w:rPr>
    </w:lvl>
    <w:lvl w:ilvl="3" w:tplc="E03288CC" w:tentative="1">
      <w:start w:val="1"/>
      <w:numFmt w:val="bullet"/>
      <w:lvlText w:val="•"/>
      <w:lvlJc w:val="left"/>
      <w:pPr>
        <w:tabs>
          <w:tab w:val="num" w:pos="2520"/>
        </w:tabs>
        <w:ind w:left="2520" w:hanging="360"/>
      </w:pPr>
      <w:rPr>
        <w:rFonts w:ascii="Times New Roman" w:hAnsi="Times New Roman" w:hint="default"/>
      </w:rPr>
    </w:lvl>
    <w:lvl w:ilvl="4" w:tplc="697886F0" w:tentative="1">
      <w:start w:val="1"/>
      <w:numFmt w:val="bullet"/>
      <w:lvlText w:val="•"/>
      <w:lvlJc w:val="left"/>
      <w:pPr>
        <w:tabs>
          <w:tab w:val="num" w:pos="3240"/>
        </w:tabs>
        <w:ind w:left="3240" w:hanging="360"/>
      </w:pPr>
      <w:rPr>
        <w:rFonts w:ascii="Times New Roman" w:hAnsi="Times New Roman" w:hint="default"/>
      </w:rPr>
    </w:lvl>
    <w:lvl w:ilvl="5" w:tplc="4B22B008" w:tentative="1">
      <w:start w:val="1"/>
      <w:numFmt w:val="bullet"/>
      <w:lvlText w:val="•"/>
      <w:lvlJc w:val="left"/>
      <w:pPr>
        <w:tabs>
          <w:tab w:val="num" w:pos="3960"/>
        </w:tabs>
        <w:ind w:left="3960" w:hanging="360"/>
      </w:pPr>
      <w:rPr>
        <w:rFonts w:ascii="Times New Roman" w:hAnsi="Times New Roman" w:hint="default"/>
      </w:rPr>
    </w:lvl>
    <w:lvl w:ilvl="6" w:tplc="A4A6E650" w:tentative="1">
      <w:start w:val="1"/>
      <w:numFmt w:val="bullet"/>
      <w:lvlText w:val="•"/>
      <w:lvlJc w:val="left"/>
      <w:pPr>
        <w:tabs>
          <w:tab w:val="num" w:pos="4680"/>
        </w:tabs>
        <w:ind w:left="4680" w:hanging="360"/>
      </w:pPr>
      <w:rPr>
        <w:rFonts w:ascii="Times New Roman" w:hAnsi="Times New Roman" w:hint="default"/>
      </w:rPr>
    </w:lvl>
    <w:lvl w:ilvl="7" w:tplc="2EC00584" w:tentative="1">
      <w:start w:val="1"/>
      <w:numFmt w:val="bullet"/>
      <w:lvlText w:val="•"/>
      <w:lvlJc w:val="left"/>
      <w:pPr>
        <w:tabs>
          <w:tab w:val="num" w:pos="5400"/>
        </w:tabs>
        <w:ind w:left="5400" w:hanging="360"/>
      </w:pPr>
      <w:rPr>
        <w:rFonts w:ascii="Times New Roman" w:hAnsi="Times New Roman" w:hint="default"/>
      </w:rPr>
    </w:lvl>
    <w:lvl w:ilvl="8" w:tplc="DDFEE336" w:tentative="1">
      <w:start w:val="1"/>
      <w:numFmt w:val="bullet"/>
      <w:lvlText w:val="•"/>
      <w:lvlJc w:val="left"/>
      <w:pPr>
        <w:tabs>
          <w:tab w:val="num" w:pos="6120"/>
        </w:tabs>
        <w:ind w:left="612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6DE3"/>
    <w:rsid w:val="00053D25"/>
    <w:rsid w:val="003132AE"/>
    <w:rsid w:val="003F5FEA"/>
    <w:rsid w:val="005547A2"/>
    <w:rsid w:val="005F4AC2"/>
    <w:rsid w:val="006D6DE3"/>
    <w:rsid w:val="007A0AC5"/>
    <w:rsid w:val="00A977AA"/>
    <w:rsid w:val="00C2509C"/>
    <w:rsid w:val="00D40D3F"/>
    <w:rsid w:val="00E330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3F"/>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47981">
      <w:bodyDiv w:val="1"/>
      <w:marLeft w:val="0"/>
      <w:marRight w:val="0"/>
      <w:marTop w:val="0"/>
      <w:marBottom w:val="0"/>
      <w:divBdr>
        <w:top w:val="none" w:sz="0" w:space="0" w:color="auto"/>
        <w:left w:val="none" w:sz="0" w:space="0" w:color="auto"/>
        <w:bottom w:val="none" w:sz="0" w:space="0" w:color="auto"/>
        <w:right w:val="none" w:sz="0" w:space="0" w:color="auto"/>
      </w:divBdr>
      <w:divsChild>
        <w:div w:id="628098510">
          <w:marLeft w:val="547"/>
          <w:marRight w:val="0"/>
          <w:marTop w:val="134"/>
          <w:marBottom w:val="0"/>
          <w:divBdr>
            <w:top w:val="none" w:sz="0" w:space="0" w:color="auto"/>
            <w:left w:val="none" w:sz="0" w:space="0" w:color="auto"/>
            <w:bottom w:val="none" w:sz="0" w:space="0" w:color="auto"/>
            <w:right w:val="none" w:sz="0" w:space="0" w:color="auto"/>
          </w:divBdr>
        </w:div>
        <w:div w:id="686253070">
          <w:marLeft w:val="1166"/>
          <w:marRight w:val="0"/>
          <w:marTop w:val="115"/>
          <w:marBottom w:val="0"/>
          <w:divBdr>
            <w:top w:val="none" w:sz="0" w:space="0" w:color="auto"/>
            <w:left w:val="none" w:sz="0" w:space="0" w:color="auto"/>
            <w:bottom w:val="none" w:sz="0" w:space="0" w:color="auto"/>
            <w:right w:val="none" w:sz="0" w:space="0" w:color="auto"/>
          </w:divBdr>
        </w:div>
      </w:divsChild>
    </w:div>
    <w:div w:id="156270153">
      <w:bodyDiv w:val="1"/>
      <w:marLeft w:val="0"/>
      <w:marRight w:val="0"/>
      <w:marTop w:val="0"/>
      <w:marBottom w:val="0"/>
      <w:divBdr>
        <w:top w:val="none" w:sz="0" w:space="0" w:color="auto"/>
        <w:left w:val="none" w:sz="0" w:space="0" w:color="auto"/>
        <w:bottom w:val="none" w:sz="0" w:space="0" w:color="auto"/>
        <w:right w:val="none" w:sz="0" w:space="0" w:color="auto"/>
      </w:divBdr>
    </w:div>
    <w:div w:id="504171874">
      <w:bodyDiv w:val="1"/>
      <w:marLeft w:val="0"/>
      <w:marRight w:val="0"/>
      <w:marTop w:val="0"/>
      <w:marBottom w:val="0"/>
      <w:divBdr>
        <w:top w:val="none" w:sz="0" w:space="0" w:color="auto"/>
        <w:left w:val="none" w:sz="0" w:space="0" w:color="auto"/>
        <w:bottom w:val="none" w:sz="0" w:space="0" w:color="auto"/>
        <w:right w:val="none" w:sz="0" w:space="0" w:color="auto"/>
      </w:divBdr>
    </w:div>
    <w:div w:id="571089603">
      <w:bodyDiv w:val="1"/>
      <w:marLeft w:val="0"/>
      <w:marRight w:val="0"/>
      <w:marTop w:val="0"/>
      <w:marBottom w:val="0"/>
      <w:divBdr>
        <w:top w:val="none" w:sz="0" w:space="0" w:color="auto"/>
        <w:left w:val="none" w:sz="0" w:space="0" w:color="auto"/>
        <w:bottom w:val="none" w:sz="0" w:space="0" w:color="auto"/>
        <w:right w:val="none" w:sz="0" w:space="0" w:color="auto"/>
      </w:divBdr>
    </w:div>
    <w:div w:id="707068990">
      <w:bodyDiv w:val="1"/>
      <w:marLeft w:val="0"/>
      <w:marRight w:val="0"/>
      <w:marTop w:val="0"/>
      <w:marBottom w:val="0"/>
      <w:divBdr>
        <w:top w:val="none" w:sz="0" w:space="0" w:color="auto"/>
        <w:left w:val="none" w:sz="0" w:space="0" w:color="auto"/>
        <w:bottom w:val="none" w:sz="0" w:space="0" w:color="auto"/>
        <w:right w:val="none" w:sz="0" w:space="0" w:color="auto"/>
      </w:divBdr>
    </w:div>
    <w:div w:id="857937038">
      <w:bodyDiv w:val="1"/>
      <w:marLeft w:val="0"/>
      <w:marRight w:val="0"/>
      <w:marTop w:val="0"/>
      <w:marBottom w:val="0"/>
      <w:divBdr>
        <w:top w:val="none" w:sz="0" w:space="0" w:color="auto"/>
        <w:left w:val="none" w:sz="0" w:space="0" w:color="auto"/>
        <w:bottom w:val="none" w:sz="0" w:space="0" w:color="auto"/>
        <w:right w:val="none" w:sz="0" w:space="0" w:color="auto"/>
      </w:divBdr>
    </w:div>
    <w:div w:id="940068752">
      <w:bodyDiv w:val="1"/>
      <w:marLeft w:val="0"/>
      <w:marRight w:val="0"/>
      <w:marTop w:val="0"/>
      <w:marBottom w:val="0"/>
      <w:divBdr>
        <w:top w:val="none" w:sz="0" w:space="0" w:color="auto"/>
        <w:left w:val="none" w:sz="0" w:space="0" w:color="auto"/>
        <w:bottom w:val="none" w:sz="0" w:space="0" w:color="auto"/>
        <w:right w:val="none" w:sz="0" w:space="0" w:color="auto"/>
      </w:divBdr>
    </w:div>
    <w:div w:id="1097601619">
      <w:bodyDiv w:val="1"/>
      <w:marLeft w:val="0"/>
      <w:marRight w:val="0"/>
      <w:marTop w:val="0"/>
      <w:marBottom w:val="0"/>
      <w:divBdr>
        <w:top w:val="none" w:sz="0" w:space="0" w:color="auto"/>
        <w:left w:val="none" w:sz="0" w:space="0" w:color="auto"/>
        <w:bottom w:val="none" w:sz="0" w:space="0" w:color="auto"/>
        <w:right w:val="none" w:sz="0" w:space="0" w:color="auto"/>
      </w:divBdr>
    </w:div>
    <w:div w:id="1156607207">
      <w:bodyDiv w:val="1"/>
      <w:marLeft w:val="0"/>
      <w:marRight w:val="0"/>
      <w:marTop w:val="0"/>
      <w:marBottom w:val="0"/>
      <w:divBdr>
        <w:top w:val="none" w:sz="0" w:space="0" w:color="auto"/>
        <w:left w:val="none" w:sz="0" w:space="0" w:color="auto"/>
        <w:bottom w:val="none" w:sz="0" w:space="0" w:color="auto"/>
        <w:right w:val="none" w:sz="0" w:space="0" w:color="auto"/>
      </w:divBdr>
    </w:div>
    <w:div w:id="1361709252">
      <w:bodyDiv w:val="1"/>
      <w:marLeft w:val="0"/>
      <w:marRight w:val="0"/>
      <w:marTop w:val="0"/>
      <w:marBottom w:val="0"/>
      <w:divBdr>
        <w:top w:val="none" w:sz="0" w:space="0" w:color="auto"/>
        <w:left w:val="none" w:sz="0" w:space="0" w:color="auto"/>
        <w:bottom w:val="none" w:sz="0" w:space="0" w:color="auto"/>
        <w:right w:val="none" w:sz="0" w:space="0" w:color="auto"/>
      </w:divBdr>
    </w:div>
    <w:div w:id="1363243869">
      <w:bodyDiv w:val="1"/>
      <w:marLeft w:val="0"/>
      <w:marRight w:val="0"/>
      <w:marTop w:val="0"/>
      <w:marBottom w:val="0"/>
      <w:divBdr>
        <w:top w:val="none" w:sz="0" w:space="0" w:color="auto"/>
        <w:left w:val="none" w:sz="0" w:space="0" w:color="auto"/>
        <w:bottom w:val="none" w:sz="0" w:space="0" w:color="auto"/>
        <w:right w:val="none" w:sz="0" w:space="0" w:color="auto"/>
      </w:divBdr>
    </w:div>
    <w:div w:id="1625773710">
      <w:bodyDiv w:val="1"/>
      <w:marLeft w:val="0"/>
      <w:marRight w:val="0"/>
      <w:marTop w:val="0"/>
      <w:marBottom w:val="0"/>
      <w:divBdr>
        <w:top w:val="none" w:sz="0" w:space="0" w:color="auto"/>
        <w:left w:val="none" w:sz="0" w:space="0" w:color="auto"/>
        <w:bottom w:val="none" w:sz="0" w:space="0" w:color="auto"/>
        <w:right w:val="none" w:sz="0" w:space="0" w:color="auto"/>
      </w:divBdr>
    </w:div>
    <w:div w:id="1704355653">
      <w:bodyDiv w:val="1"/>
      <w:marLeft w:val="0"/>
      <w:marRight w:val="0"/>
      <w:marTop w:val="0"/>
      <w:marBottom w:val="0"/>
      <w:divBdr>
        <w:top w:val="none" w:sz="0" w:space="0" w:color="auto"/>
        <w:left w:val="none" w:sz="0" w:space="0" w:color="auto"/>
        <w:bottom w:val="none" w:sz="0" w:space="0" w:color="auto"/>
        <w:right w:val="none" w:sz="0" w:space="0" w:color="auto"/>
      </w:divBdr>
    </w:div>
    <w:div w:id="1979265075">
      <w:bodyDiv w:val="1"/>
      <w:marLeft w:val="0"/>
      <w:marRight w:val="0"/>
      <w:marTop w:val="0"/>
      <w:marBottom w:val="0"/>
      <w:divBdr>
        <w:top w:val="none" w:sz="0" w:space="0" w:color="auto"/>
        <w:left w:val="none" w:sz="0" w:space="0" w:color="auto"/>
        <w:bottom w:val="none" w:sz="0" w:space="0" w:color="auto"/>
        <w:right w:val="none" w:sz="0" w:space="0" w:color="auto"/>
      </w:divBdr>
    </w:div>
    <w:div w:id="202863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789</Words>
  <Characters>4264</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2014-12-11T22:10:00Z</dcterms:created>
  <dcterms:modified xsi:type="dcterms:W3CDTF">2014-12-11T22:45:00Z</dcterms:modified>
</cp:coreProperties>
</file>