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9BB4" w14:textId="34057CAF" w:rsidR="000F2E04" w:rsidRPr="000F2E04" w:rsidRDefault="000F2E04" w:rsidP="000F2E04">
      <w:pPr>
        <w:jc w:val="center"/>
        <w:rPr>
          <w:b/>
          <w:bCs/>
        </w:rPr>
      </w:pPr>
      <w:r w:rsidRPr="000F2E04">
        <w:rPr>
          <w:b/>
          <w:bCs/>
        </w:rPr>
        <w:t xml:space="preserve">Φιλοσοφική εργασία </w:t>
      </w:r>
      <w:proofErr w:type="spellStart"/>
      <w:r w:rsidRPr="000F2E04">
        <w:rPr>
          <w:b/>
          <w:bCs/>
        </w:rPr>
        <w:t>Νο</w:t>
      </w:r>
      <w:proofErr w:type="spellEnd"/>
      <w:r w:rsidRPr="000F2E04">
        <w:rPr>
          <w:b/>
          <w:bCs/>
        </w:rPr>
        <w:t xml:space="preserve"> 3: απαντήσεις</w:t>
      </w:r>
    </w:p>
    <w:p w14:paraId="0C5E23EE" w14:textId="4AEC3971" w:rsidR="0041338D" w:rsidRDefault="000F2E04" w:rsidP="00F63645">
      <w:pPr>
        <w:jc w:val="both"/>
      </w:pPr>
      <w:r w:rsidRPr="000F2E04">
        <w:rPr>
          <w:b/>
          <w:bCs/>
        </w:rPr>
        <w:t>ΑΣΚ. 1)</w:t>
      </w:r>
      <w:r w:rsidRPr="000F2E04">
        <w:t xml:space="preserve"> </w:t>
      </w:r>
      <w:r w:rsidR="00F63645" w:rsidRPr="000F2E04">
        <w:rPr>
          <w:u w:val="double"/>
        </w:rPr>
        <w:t>Υπόδειξη</w:t>
      </w:r>
      <w:r w:rsidR="00F63645">
        <w:t xml:space="preserve">: Η άσκηση αυτή βασίζεται στη σημασία των εννοιών (σύμφωνα και με την αριστοτελική «θεωρία εννοιών») </w:t>
      </w:r>
      <w:r>
        <w:t xml:space="preserve"> για </w:t>
      </w:r>
      <w:r w:rsidR="00F63645">
        <w:t>τη διαμόρφωση της σκέψης και συνακόλουθα τη χρήση της γλώσσας. Οι παρενέργειες που προκαλεί το κάθε αντιβιοτικό αποτελούν μία σειρά εννοιών που αξιολογούνται ως προς την κρισιμότητά τους και ιεραρχούνται</w:t>
      </w:r>
      <w:r>
        <w:t>,</w:t>
      </w:r>
      <w:r w:rsidR="00F63645">
        <w:t xml:space="preserve"> με τη σειρά που δίνονται</w:t>
      </w:r>
      <w:r>
        <w:t>,</w:t>
      </w:r>
      <w:r w:rsidR="00F63645">
        <w:t xml:space="preserve"> για κάθε συγκεκριμένο αντιβιοτικό. Αξιοποιώντας τη λογική μας, συμπεραίνουμε ότι </w:t>
      </w:r>
      <w:r w:rsidR="00F63645" w:rsidRPr="00F63645">
        <w:rPr>
          <w:b/>
          <w:bCs/>
        </w:rPr>
        <w:t>το αντιβιοτικό Β</w:t>
      </w:r>
      <w:r w:rsidR="00F63645">
        <w:t xml:space="preserve"> </w:t>
      </w:r>
      <w:r w:rsidR="00F63645" w:rsidRPr="00F63645">
        <w:rPr>
          <w:b/>
          <w:bCs/>
        </w:rPr>
        <w:t>απαγορεύεται να δοθεί</w:t>
      </w:r>
      <w:r w:rsidR="00F63645">
        <w:t xml:space="preserve"> στον συγκεκριμένο ασθενή – ενώ </w:t>
      </w:r>
      <w:r w:rsidR="00F63645" w:rsidRPr="00F63645">
        <w:rPr>
          <w:b/>
          <w:bCs/>
        </w:rPr>
        <w:t>το αντιβιοτικό Α πιθανόν τού επιτρέπεται</w:t>
      </w:r>
      <w:r w:rsidR="00F63645">
        <w:t xml:space="preserve"> να το λάβει.</w:t>
      </w:r>
    </w:p>
    <w:p w14:paraId="1AF07E16" w14:textId="77777777" w:rsidR="000F2E04" w:rsidRPr="000F2E04" w:rsidRDefault="000F2E04" w:rsidP="00F63645">
      <w:pPr>
        <w:jc w:val="both"/>
        <w:rPr>
          <w:b/>
          <w:bCs/>
        </w:rPr>
      </w:pPr>
      <w:r w:rsidRPr="000F2E04">
        <w:rPr>
          <w:b/>
          <w:bCs/>
        </w:rPr>
        <w:t>ΑΣΚ. 2)</w:t>
      </w:r>
    </w:p>
    <w:p w14:paraId="5D390657" w14:textId="0431FE05" w:rsidR="00F63645" w:rsidRDefault="004A4C12" w:rsidP="000F2E04">
      <w:pPr>
        <w:pStyle w:val="a6"/>
        <w:numPr>
          <w:ilvl w:val="0"/>
          <w:numId w:val="3"/>
        </w:numPr>
        <w:jc w:val="both"/>
      </w:pPr>
      <w:r>
        <w:t xml:space="preserve">Οι έννοιες «έδρα» και «θρανίο» είναι παράλληλες γιατί υπάγονται και οι δύο στην ευρύτερη έννοια «τραπέζι» / «έπιπλο» / «γραφείο», κάθε μία όμως από αυτές χρησιμοποιείται για να δηλωθεί διαφορετικός προορισμός ως προς τη χρήση του αντικειμένου που περιγράφουν: η έδρα είναι το γραφείο του καθηγητή μέσα στη σχολική αίθουσα </w:t>
      </w:r>
      <w:r w:rsidRPr="000F2E04">
        <w:rPr>
          <w:b/>
          <w:bCs/>
        </w:rPr>
        <w:t>ε ν ώ</w:t>
      </w:r>
      <w:r>
        <w:t xml:space="preserve"> το θρανίο είναι το γραφείο του μαθητή μέσα στη σχολική αίθουσα.</w:t>
      </w:r>
      <w:r w:rsidR="000F2E04">
        <w:t xml:space="preserve"> </w:t>
      </w:r>
    </w:p>
    <w:p w14:paraId="2546133D" w14:textId="77777777" w:rsidR="000F2E04" w:rsidRDefault="000F2E04" w:rsidP="000F2E04">
      <w:pPr>
        <w:spacing w:after="0"/>
        <w:jc w:val="both"/>
      </w:pPr>
    </w:p>
    <w:p w14:paraId="647EC9AC" w14:textId="4C4E247C" w:rsidR="004A4C12" w:rsidRDefault="004A4C12" w:rsidP="000F2E04">
      <w:pPr>
        <w:pStyle w:val="a6"/>
        <w:numPr>
          <w:ilvl w:val="0"/>
          <w:numId w:val="3"/>
        </w:numPr>
        <w:jc w:val="both"/>
      </w:pPr>
      <w:r>
        <w:t>Η μεταξύ τους ειδοποιός διαφορά είναι ότι η έδρα είναι γραφείο που προορίζεται ειδικότερα για τον καθηγητή. Βεβαίως υπάρχουν και άλλα γνωρίσματα που τη διακρίνουν από το θρανίο όπως το μέγεθός της και το ότι φέρει συρτάρια για την αποθήκευση βιβλίων και αρχείων του διδάσκοντος.</w:t>
      </w:r>
    </w:p>
    <w:p w14:paraId="7BFD79AD" w14:textId="77777777" w:rsidR="000F2E04" w:rsidRDefault="000F2E04" w:rsidP="000F2E04">
      <w:pPr>
        <w:pStyle w:val="a6"/>
      </w:pPr>
    </w:p>
    <w:p w14:paraId="157774AB" w14:textId="18D4897E" w:rsidR="004A4C12" w:rsidRDefault="00606E3A" w:rsidP="000F2E04">
      <w:pPr>
        <w:pStyle w:val="a6"/>
        <w:numPr>
          <w:ilvl w:val="0"/>
          <w:numId w:val="3"/>
        </w:numPr>
        <w:jc w:val="both"/>
      </w:pPr>
      <w:r>
        <w:t xml:space="preserve">Η λέξη </w:t>
      </w:r>
      <w:r w:rsidRPr="000F2E04">
        <w:rPr>
          <w:i/>
          <w:iCs/>
        </w:rPr>
        <w:t>πρόσφατα</w:t>
      </w:r>
      <w:r>
        <w:t xml:space="preserve"> είναι έννοια που βρίσκεται σε χρονική ανακολουθία με το ρήμα </w:t>
      </w:r>
      <w:r w:rsidRPr="000F2E04">
        <w:rPr>
          <w:i/>
          <w:iCs/>
        </w:rPr>
        <w:t>θα μιλήσω</w:t>
      </w:r>
      <w:r>
        <w:t xml:space="preserve"> και την έννοια που αυτό εκφράζει: το πρόσφατα αναφέρεται σε πράξη συντελεσμένη </w:t>
      </w:r>
      <w:r w:rsidRPr="000F2E04">
        <w:rPr>
          <w:b/>
          <w:bCs/>
        </w:rPr>
        <w:t>ε ν ώ</w:t>
      </w:r>
      <w:r>
        <w:t xml:space="preserve"> το θα μιλήσω σε πράξη που πρόκειται να συντελεστεί.</w:t>
      </w:r>
    </w:p>
    <w:p w14:paraId="75B41930" w14:textId="77777777" w:rsidR="000F2E04" w:rsidRDefault="000F2E04" w:rsidP="000F2E04">
      <w:pPr>
        <w:pStyle w:val="a6"/>
      </w:pPr>
    </w:p>
    <w:p w14:paraId="471EFEFD" w14:textId="06C31327" w:rsidR="00606E3A" w:rsidRDefault="00606E3A" w:rsidP="000F2E04">
      <w:pPr>
        <w:pStyle w:val="a6"/>
        <w:numPr>
          <w:ilvl w:val="0"/>
          <w:numId w:val="3"/>
        </w:numPr>
        <w:jc w:val="both"/>
      </w:pPr>
      <w:r>
        <w:t xml:space="preserve">Το πρόβλημα αποκαθίσταται είτε με την αντικατάσταση του χρονικού επιρρήματος με το </w:t>
      </w:r>
      <w:r w:rsidRPr="000F2E04">
        <w:rPr>
          <w:i/>
          <w:iCs/>
        </w:rPr>
        <w:t>σύντομα</w:t>
      </w:r>
      <w:r>
        <w:t xml:space="preserve"> είτε με την αντικατάσταση του ρήματος με το </w:t>
      </w:r>
      <w:r w:rsidRPr="000F2E04">
        <w:rPr>
          <w:i/>
          <w:iCs/>
        </w:rPr>
        <w:t>μίλησα</w:t>
      </w:r>
      <w:r>
        <w:t>.</w:t>
      </w:r>
    </w:p>
    <w:p w14:paraId="77871F6E" w14:textId="77777777" w:rsidR="000F2E04" w:rsidRDefault="000F2E04" w:rsidP="000F2E04">
      <w:pPr>
        <w:pStyle w:val="a6"/>
      </w:pPr>
    </w:p>
    <w:p w14:paraId="3386CC2C" w14:textId="378806D5" w:rsidR="00606E3A" w:rsidRDefault="000F2E04" w:rsidP="000F2E04">
      <w:pPr>
        <w:pStyle w:val="a6"/>
        <w:numPr>
          <w:ilvl w:val="0"/>
          <w:numId w:val="3"/>
        </w:numPr>
        <w:jc w:val="both"/>
      </w:pPr>
      <w:r>
        <w:t>Η συνεκτικότητα αλλοιώνεται γ</w:t>
      </w:r>
      <w:r w:rsidR="00606E3A">
        <w:t xml:space="preserve">ιατί η επιθυμία που δηλώνεται με το </w:t>
      </w:r>
      <w:r w:rsidR="00606E3A" w:rsidRPr="000F2E04">
        <w:rPr>
          <w:i/>
          <w:iCs/>
        </w:rPr>
        <w:t>ήθελε πολύ</w:t>
      </w:r>
      <w:r w:rsidR="00606E3A">
        <w:t xml:space="preserve"> συγκρούεται εν μέρει με το </w:t>
      </w:r>
      <w:r w:rsidR="00606E3A" w:rsidRPr="000F2E04">
        <w:rPr>
          <w:i/>
          <w:iCs/>
        </w:rPr>
        <w:t>δεν ήθελε και τόσο</w:t>
      </w:r>
      <w:r w:rsidR="00606E3A">
        <w:t xml:space="preserve"> εφόσον και τα δύο αναφέρονται στο ίδιο βουλητικό αντικείμενο, την τσάντα. Η δηλούμενη στην αρχή επιθυμία αναιρείται εν μέρει από εκείνη που διατυπώνεται στη συνέχεια.</w:t>
      </w:r>
    </w:p>
    <w:p w14:paraId="3384AE2C" w14:textId="77777777" w:rsidR="000F2E04" w:rsidRDefault="000F2E04" w:rsidP="000F2E04">
      <w:pPr>
        <w:pStyle w:val="a6"/>
      </w:pPr>
    </w:p>
    <w:p w14:paraId="70DF3B48" w14:textId="1EF283AD" w:rsidR="00606E3A" w:rsidRDefault="00606E3A" w:rsidP="000F2E04">
      <w:pPr>
        <w:pStyle w:val="a6"/>
        <w:numPr>
          <w:ilvl w:val="0"/>
          <w:numId w:val="3"/>
        </w:numPr>
        <w:jc w:val="both"/>
      </w:pPr>
      <w:r>
        <w:t xml:space="preserve">Οι αντιπαρατιθέμενες έννοιες είναι </w:t>
      </w:r>
      <w:r w:rsidRPr="000F2E04">
        <w:rPr>
          <w:u w:val="thick"/>
        </w:rPr>
        <w:t>αντιθετικές</w:t>
      </w:r>
      <w:r>
        <w:t xml:space="preserve"> και όχι αντιφατικές: δεν γράφεται ότι την τσάντα </w:t>
      </w:r>
      <w:r w:rsidR="002D12B1">
        <w:t>«</w:t>
      </w:r>
      <w:r>
        <w:t>την ήθελε πολύ</w:t>
      </w:r>
      <w:r w:rsidR="002D12B1">
        <w:t>»</w:t>
      </w:r>
      <w:r>
        <w:t xml:space="preserve"> και (ταυτόχρονα) </w:t>
      </w:r>
      <w:r w:rsidR="002D12B1">
        <w:t>«</w:t>
      </w:r>
      <w:r>
        <w:t>δεν την ήθελε καθόλου</w:t>
      </w:r>
      <w:r w:rsidR="002D12B1">
        <w:t>»</w:t>
      </w:r>
      <w:r>
        <w:t>. Ποια είναι</w:t>
      </w:r>
      <w:r w:rsidR="000F2E04">
        <w:t>, επομένως,</w:t>
      </w:r>
      <w:r>
        <w:t xml:space="preserve"> τα </w:t>
      </w:r>
      <w:r w:rsidR="000F2E04">
        <w:t xml:space="preserve">πιθανά </w:t>
      </w:r>
      <w:proofErr w:type="spellStart"/>
      <w:r>
        <w:t>υπόρρητα</w:t>
      </w:r>
      <w:proofErr w:type="spellEnd"/>
      <w:r>
        <w:t xml:space="preserve"> νοήματα</w:t>
      </w:r>
      <w:r w:rsidR="00F8235B">
        <w:t xml:space="preserve"> της παράδοξης αυτής διατύπωσης;</w:t>
      </w:r>
    </w:p>
    <w:p w14:paraId="17C1F1F9" w14:textId="0F5CE48F" w:rsidR="00F8235B" w:rsidRDefault="00F8235B" w:rsidP="00F8235B">
      <w:pPr>
        <w:pStyle w:val="a6"/>
        <w:numPr>
          <w:ilvl w:val="0"/>
          <w:numId w:val="1"/>
        </w:numPr>
        <w:jc w:val="both"/>
      </w:pPr>
      <w:r>
        <w:t>Ο υποψήφιος αγοραστής της τσάντας βιώνει μία μεγάλη σύγχυση (για τους δικούς του λόγους)</w:t>
      </w:r>
      <w:r w:rsidR="002D12B1">
        <w:t>: τη θέλει, τελικά, την τσάντα ή δεν τη θέλει;</w:t>
      </w:r>
    </w:p>
    <w:p w14:paraId="088D2F7A" w14:textId="0B9A95CC" w:rsidR="00F8235B" w:rsidRDefault="00F8235B" w:rsidP="00F8235B">
      <w:pPr>
        <w:pStyle w:val="a6"/>
        <w:numPr>
          <w:ilvl w:val="0"/>
          <w:numId w:val="1"/>
        </w:numPr>
        <w:jc w:val="both"/>
      </w:pPr>
      <w:r>
        <w:t>Η φράση πιθανόν δηλώνει ότι ο υποψήφιος αγοραστής ήθελε οπωσδήποτε να αγοράσει μία τσάντα, τη συγκεκριμένη δεν την προτιμούσε, παρ’ όλα αυτά σκεφτόταν να την αγοράσει για να καλύψει την ανάγκη του.</w:t>
      </w:r>
    </w:p>
    <w:p w14:paraId="505EF8CC" w14:textId="09B71EBE" w:rsidR="00F8235B" w:rsidRPr="00D86E96" w:rsidRDefault="00F8235B" w:rsidP="00F8235B">
      <w:pPr>
        <w:pStyle w:val="a6"/>
        <w:numPr>
          <w:ilvl w:val="0"/>
          <w:numId w:val="1"/>
        </w:numPr>
        <w:jc w:val="both"/>
      </w:pPr>
      <w:r>
        <w:t>Με άλλη ερμηνεία: ο αγοραστής είναι θύμα του καταναλωτισμού, επιθυμεί ν’ αγοράζει, αν και δεν έχει πραγματική ανάγκη από τα αντικείμενα που αγοράζει.</w:t>
      </w:r>
    </w:p>
    <w:p w14:paraId="63FBF3DD" w14:textId="48F871B4" w:rsidR="00D86E96" w:rsidRDefault="000F2E04" w:rsidP="00D86E96">
      <w:pPr>
        <w:jc w:val="both"/>
      </w:pPr>
      <w:r>
        <w:rPr>
          <w:rFonts w:ascii="Courier New" w:hAnsi="Courier New" w:cs="Courier New"/>
        </w:rPr>
        <w:t>►</w:t>
      </w:r>
      <w:r>
        <w:t xml:space="preserve"> </w:t>
      </w:r>
      <w:r w:rsidR="00D86E96">
        <w:t>Σε κάθε περίπτωση γίνεται φανερό ότι η γλώσσα υπερβαίνει σε επίπεδο κρίσεων και συλλογισμών το βάθος των εννοιών που τη συνθέτουν και επιτρέπει τρόπους κατανόησης</w:t>
      </w:r>
      <w:r w:rsidR="002D12B1">
        <w:t xml:space="preserve"> πέραν των λογικών συσχετισμών που επιβάλλουν οι όροι που την αποτελούν.</w:t>
      </w:r>
    </w:p>
    <w:p w14:paraId="65ED19A8" w14:textId="77777777" w:rsidR="000F2E04" w:rsidRDefault="000F2E04" w:rsidP="00D86E96">
      <w:pPr>
        <w:jc w:val="both"/>
      </w:pPr>
    </w:p>
    <w:p w14:paraId="5AC45A8A" w14:textId="03CA8ED9" w:rsidR="000F2E04" w:rsidRDefault="000F2E04" w:rsidP="00D86E96">
      <w:pPr>
        <w:jc w:val="both"/>
        <w:rPr>
          <w:b/>
          <w:bCs/>
        </w:rPr>
      </w:pPr>
      <w:r w:rsidRPr="000F2E04">
        <w:rPr>
          <w:b/>
          <w:bCs/>
        </w:rPr>
        <w:t>ΑΣΚ. 3)</w:t>
      </w:r>
    </w:p>
    <w:p w14:paraId="29F184A3" w14:textId="77777777" w:rsidR="000F2E04" w:rsidRPr="000F2E04" w:rsidRDefault="000F2E04" w:rsidP="00D86E96">
      <w:pPr>
        <w:jc w:val="both"/>
        <w:rPr>
          <w:b/>
          <w:bCs/>
        </w:rPr>
      </w:pPr>
    </w:p>
    <w:tbl>
      <w:tblPr>
        <w:tblStyle w:val="aa"/>
        <w:tblW w:w="8505" w:type="dxa"/>
        <w:jc w:val="center"/>
        <w:tblLook w:val="04A0" w:firstRow="1" w:lastRow="0" w:firstColumn="1" w:lastColumn="0" w:noHBand="0" w:noVBand="1"/>
      </w:tblPr>
      <w:tblGrid>
        <w:gridCol w:w="4448"/>
        <w:gridCol w:w="4057"/>
      </w:tblGrid>
      <w:tr w:rsidR="002D12B1" w:rsidRPr="000B0D7B" w14:paraId="005D07EC" w14:textId="77777777" w:rsidTr="009D78F1">
        <w:trPr>
          <w:jc w:val="center"/>
        </w:trPr>
        <w:tc>
          <w:tcPr>
            <w:tcW w:w="4448" w:type="dxa"/>
          </w:tcPr>
          <w:p w14:paraId="4D245936" w14:textId="6EA38AF2" w:rsidR="002D12B1" w:rsidRPr="000B0D7B" w:rsidRDefault="002D12B1" w:rsidP="008A6488">
            <w:pPr>
              <w:autoSpaceDE w:val="0"/>
              <w:autoSpaceDN w:val="0"/>
              <w:adjustRightInd w:val="0"/>
              <w:jc w:val="center"/>
              <w:rPr>
                <w:rFonts w:cstheme="minorHAnsi"/>
                <w:b/>
                <w:bCs/>
                <w:color w:val="002060"/>
                <w:sz w:val="24"/>
                <w:szCs w:val="24"/>
              </w:rPr>
            </w:pPr>
            <w:r w:rsidRPr="000B0D7B">
              <w:rPr>
                <w:rFonts w:cstheme="minorHAnsi"/>
                <w:b/>
                <w:bCs/>
                <w:color w:val="002060"/>
                <w:sz w:val="24"/>
                <w:szCs w:val="24"/>
              </w:rPr>
              <w:t>ΑΙΣΘΗΤΑ ΠΡΑΓΜΑΤΑ</w:t>
            </w:r>
          </w:p>
        </w:tc>
        <w:tc>
          <w:tcPr>
            <w:tcW w:w="4057" w:type="dxa"/>
          </w:tcPr>
          <w:p w14:paraId="5A155B51" w14:textId="77777777" w:rsidR="002D12B1" w:rsidRPr="000B0D7B" w:rsidRDefault="002D12B1" w:rsidP="009D78F1">
            <w:pPr>
              <w:autoSpaceDE w:val="0"/>
              <w:autoSpaceDN w:val="0"/>
              <w:adjustRightInd w:val="0"/>
              <w:jc w:val="center"/>
              <w:rPr>
                <w:rFonts w:cstheme="minorHAnsi"/>
                <w:b/>
                <w:bCs/>
                <w:color w:val="002060"/>
                <w:sz w:val="24"/>
                <w:szCs w:val="24"/>
              </w:rPr>
            </w:pPr>
            <w:r w:rsidRPr="000B0D7B">
              <w:rPr>
                <w:rFonts w:cstheme="minorHAnsi"/>
                <w:b/>
                <w:bCs/>
                <w:color w:val="002060"/>
                <w:sz w:val="24"/>
                <w:szCs w:val="24"/>
              </w:rPr>
              <w:t>ΙΔΕΕΣ</w:t>
            </w:r>
          </w:p>
        </w:tc>
      </w:tr>
      <w:tr w:rsidR="002D12B1" w:rsidRPr="000B0D7B" w14:paraId="1391338B" w14:textId="77777777" w:rsidTr="009D78F1">
        <w:trPr>
          <w:jc w:val="center"/>
        </w:trPr>
        <w:tc>
          <w:tcPr>
            <w:tcW w:w="4448" w:type="dxa"/>
          </w:tcPr>
          <w:p w14:paraId="224B1AF4" w14:textId="24427779" w:rsidR="002D12B1" w:rsidRPr="000B0D7B" w:rsidRDefault="002D12B1" w:rsidP="009D78F1">
            <w:pPr>
              <w:autoSpaceDE w:val="0"/>
              <w:autoSpaceDN w:val="0"/>
              <w:adjustRightInd w:val="0"/>
              <w:jc w:val="center"/>
              <w:rPr>
                <w:rFonts w:cstheme="minorHAnsi"/>
                <w:b/>
                <w:bCs/>
                <w:color w:val="002060"/>
                <w:sz w:val="24"/>
                <w:szCs w:val="24"/>
              </w:rPr>
            </w:pPr>
            <w:r>
              <w:rPr>
                <w:rFonts w:cstheme="minorHAnsi"/>
                <w:b/>
                <w:bCs/>
                <w:color w:val="002060"/>
                <w:sz w:val="24"/>
                <w:szCs w:val="24"/>
              </w:rPr>
              <w:t>2, 4, 6, 8, 9, 10, 12, 15</w:t>
            </w:r>
          </w:p>
        </w:tc>
        <w:tc>
          <w:tcPr>
            <w:tcW w:w="4057" w:type="dxa"/>
          </w:tcPr>
          <w:p w14:paraId="3655C5C7" w14:textId="7325F14F" w:rsidR="002D12B1" w:rsidRPr="000B0D7B" w:rsidRDefault="002D12B1" w:rsidP="009D78F1">
            <w:pPr>
              <w:autoSpaceDE w:val="0"/>
              <w:autoSpaceDN w:val="0"/>
              <w:adjustRightInd w:val="0"/>
              <w:jc w:val="center"/>
              <w:rPr>
                <w:rFonts w:cstheme="minorHAnsi"/>
                <w:b/>
                <w:bCs/>
                <w:color w:val="002060"/>
                <w:sz w:val="24"/>
                <w:szCs w:val="24"/>
              </w:rPr>
            </w:pPr>
            <w:r>
              <w:rPr>
                <w:rFonts w:cstheme="minorHAnsi"/>
                <w:b/>
                <w:bCs/>
                <w:color w:val="002060"/>
                <w:sz w:val="24"/>
                <w:szCs w:val="24"/>
              </w:rPr>
              <w:t>1, 3, 5, 7, 11, 13, 14, 16</w:t>
            </w:r>
          </w:p>
        </w:tc>
      </w:tr>
    </w:tbl>
    <w:p w14:paraId="3BDF6E74" w14:textId="77777777" w:rsidR="002D12B1" w:rsidRDefault="002D12B1" w:rsidP="00D86E96">
      <w:pPr>
        <w:jc w:val="both"/>
      </w:pPr>
    </w:p>
    <w:p w14:paraId="74AE8EF6" w14:textId="77777777" w:rsidR="00142CAF" w:rsidRDefault="00142CAF" w:rsidP="00D86E96">
      <w:pPr>
        <w:jc w:val="both"/>
        <w:rPr>
          <w:b/>
          <w:bCs/>
        </w:rPr>
      </w:pPr>
    </w:p>
    <w:p w14:paraId="77651688" w14:textId="429BF90F" w:rsidR="000F2E04" w:rsidRDefault="000F2E04" w:rsidP="00D86E96">
      <w:pPr>
        <w:jc w:val="both"/>
        <w:rPr>
          <w:b/>
          <w:bCs/>
        </w:rPr>
      </w:pPr>
      <w:r>
        <w:rPr>
          <w:b/>
          <w:bCs/>
        </w:rPr>
        <w:lastRenderedPageBreak/>
        <w:t>ΑΣΚ. 4)</w:t>
      </w:r>
    </w:p>
    <w:p w14:paraId="0B7FABDB" w14:textId="284D9C03" w:rsidR="005C7442" w:rsidRDefault="00142CAF" w:rsidP="00D86E96">
      <w:pPr>
        <w:jc w:val="both"/>
      </w:pPr>
      <w:r w:rsidRPr="00142CAF">
        <w:rPr>
          <w:b/>
          <w:bCs/>
        </w:rPr>
        <w:t>α.</w:t>
      </w:r>
      <w:r>
        <w:t xml:space="preserve"> </w:t>
      </w:r>
      <w:r w:rsidR="005C7442">
        <w:t xml:space="preserve">Η «ισότητα» είναι μία καθολική έννοια η οποία αποδίδει τη σχέση που χαρακτηρίζει δύο ή περισσότερα πράγματα τα οποία είναι είτε ποσοτικά ίσα μεταξύ τους είτε ποιοτικά όμοια. Με βάση την κοινή ανθρώπινη εμπειρία, ως ισότητα ορίζεται συνήθως: </w:t>
      </w:r>
    </w:p>
    <w:p w14:paraId="64D80DA7" w14:textId="4F359F89" w:rsidR="005C7442" w:rsidRDefault="005C7442" w:rsidP="005C7442">
      <w:pPr>
        <w:pStyle w:val="a6"/>
        <w:numPr>
          <w:ilvl w:val="0"/>
          <w:numId w:val="2"/>
        </w:numPr>
        <w:jc w:val="both"/>
      </w:pPr>
      <w:r>
        <w:t>Η ισότητα ως προς τα φυσικά, βιολογικά χαρακτηριστικά των ανθρώπων ανάμεσα στα μέλη της κάθε φυλής αλλά και μεταξύ διαφορετικών φυλών.</w:t>
      </w:r>
    </w:p>
    <w:p w14:paraId="5A85CB22" w14:textId="48439C82" w:rsidR="002D12B1" w:rsidRDefault="005C7442" w:rsidP="005C7442">
      <w:pPr>
        <w:pStyle w:val="a6"/>
        <w:numPr>
          <w:ilvl w:val="0"/>
          <w:numId w:val="2"/>
        </w:numPr>
        <w:jc w:val="both"/>
      </w:pPr>
      <w:r>
        <w:t>Η ισότητα των δικαιωμάτων μεταξύ όλων ανεξαιρέτως των ανθρώπων, χωρίς διακρίσεις.</w:t>
      </w:r>
    </w:p>
    <w:p w14:paraId="035CC101" w14:textId="3F17F267" w:rsidR="005C7442" w:rsidRDefault="005C7442" w:rsidP="005C7442">
      <w:pPr>
        <w:pStyle w:val="a6"/>
        <w:numPr>
          <w:ilvl w:val="0"/>
          <w:numId w:val="2"/>
        </w:numPr>
        <w:jc w:val="both"/>
      </w:pPr>
      <w:r>
        <w:t>Η ισότητα των ευκαιριών απέναντι στις ποικίλες δυνατότητες της ζωής που χαρίζουν ευχαρίστηση και ευημερία στον άνθρωπο.</w:t>
      </w:r>
    </w:p>
    <w:p w14:paraId="6D45DEE4" w14:textId="77777777" w:rsidR="005C7442" w:rsidRDefault="005C7442" w:rsidP="005C7442">
      <w:pPr>
        <w:pStyle w:val="a6"/>
        <w:numPr>
          <w:ilvl w:val="0"/>
          <w:numId w:val="2"/>
        </w:numPr>
        <w:jc w:val="both"/>
      </w:pPr>
      <w:r>
        <w:t>Η ισοτιμία – ισονομία – ισοπολιτεία.</w:t>
      </w:r>
    </w:p>
    <w:p w14:paraId="1C5D1722" w14:textId="77777777" w:rsidR="008A6488" w:rsidRDefault="005C7442" w:rsidP="005C7442">
      <w:pPr>
        <w:pStyle w:val="a6"/>
        <w:numPr>
          <w:ilvl w:val="0"/>
          <w:numId w:val="2"/>
        </w:numPr>
        <w:jc w:val="both"/>
      </w:pPr>
      <w:r>
        <w:t>Η απουσία κραυγαλέων οικονομικών ανισοτήτων</w:t>
      </w:r>
      <w:r w:rsidR="008A6488">
        <w:t>.</w:t>
      </w:r>
    </w:p>
    <w:p w14:paraId="71F1B3E0" w14:textId="77777777" w:rsidR="008A6488" w:rsidRDefault="008A6488" w:rsidP="00142CAF">
      <w:pPr>
        <w:spacing w:after="0"/>
        <w:jc w:val="both"/>
      </w:pPr>
    </w:p>
    <w:p w14:paraId="6AE41114" w14:textId="2D9EEEAC" w:rsidR="005C7442" w:rsidRPr="002D12B1" w:rsidRDefault="00142CAF" w:rsidP="008A6488">
      <w:pPr>
        <w:jc w:val="both"/>
      </w:pPr>
      <w:r>
        <w:rPr>
          <w:b/>
          <w:bCs/>
        </w:rPr>
        <w:t xml:space="preserve">β. </w:t>
      </w:r>
      <w:r w:rsidR="008A6488">
        <w:t xml:space="preserve">Η ισότητα της αρχαίας αθηναϊκής πολιτείας και κοινωνίας ήταν σε μεγάλο βαθμό επιλεκτική: ίσοι θεωρούνταν ως προς τα δικαιώματα όλοι οι ελεύθεροι Αθηναίοι πολίτες ενώ οι δούλοι – οι μέτοικοι – οι γυναίκες και τα κατώτερα εισοδηματικά στρώματα είχαν περιορισμένα δικαιώματα. Στον σύγχρονο δυτικό πολιτισμό η ισότητα έχει διευρυνθεί θεσμικά και νομοθετικά αλλά και κοινωνικά κατά πολύ: η δουλεία απαγορεύεται δια νόμου – οι μετανάστες και οι πρόσφυγες ενσωματώνονται σε μεγάλο βαθμό στις χώρες υποδοχής τους – οι γυναίκες έχουν χειραφετηθεί – οι κατώτεροι οικονομικά πολίτες καλύπτονται σε </w:t>
      </w:r>
      <w:r w:rsidR="000F2E04">
        <w:t xml:space="preserve">ικανοποιητικό βαθμό από το </w:t>
      </w:r>
      <w:proofErr w:type="spellStart"/>
      <w:r w:rsidR="000F2E04">
        <w:t>προνοιακό</w:t>
      </w:r>
      <w:proofErr w:type="spellEnd"/>
      <w:r w:rsidR="000F2E04">
        <w:t xml:space="preserve"> κράτος με παροχές και επιδόματα. Δεν συζητάμε βέβαια για μία ιδεώδη κατάσταση αλλά για μία αισθητή πρόοδο σε σχέση με την αρχαιότητα.</w:t>
      </w:r>
      <w:r w:rsidR="005C7442">
        <w:t xml:space="preserve"> </w:t>
      </w:r>
    </w:p>
    <w:sectPr w:rsidR="005C7442" w:rsidRPr="002D12B1" w:rsidSect="00F636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7A5D"/>
    <w:multiLevelType w:val="hybridMultilevel"/>
    <w:tmpl w:val="38A0DF26"/>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BF53C18"/>
    <w:multiLevelType w:val="hybridMultilevel"/>
    <w:tmpl w:val="33080C00"/>
    <w:lvl w:ilvl="0" w:tplc="0C76668A">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61A9492B"/>
    <w:multiLevelType w:val="hybridMultilevel"/>
    <w:tmpl w:val="3DDA5E9A"/>
    <w:lvl w:ilvl="0" w:tplc="9336043A">
      <w:start w:val="1"/>
      <w:numFmt w:val="ordin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417798989">
    <w:abstractNumId w:val="1"/>
  </w:num>
  <w:num w:numId="2" w16cid:durableId="1765683072">
    <w:abstractNumId w:val="0"/>
  </w:num>
  <w:num w:numId="3" w16cid:durableId="693001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5"/>
    <w:rsid w:val="000F2E04"/>
    <w:rsid w:val="00142CAF"/>
    <w:rsid w:val="00176475"/>
    <w:rsid w:val="002D12B1"/>
    <w:rsid w:val="0041338D"/>
    <w:rsid w:val="004A4C12"/>
    <w:rsid w:val="005C7442"/>
    <w:rsid w:val="00606E3A"/>
    <w:rsid w:val="008627AD"/>
    <w:rsid w:val="008A6488"/>
    <w:rsid w:val="00D86E96"/>
    <w:rsid w:val="00EC1918"/>
    <w:rsid w:val="00F63645"/>
    <w:rsid w:val="00F823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29DB"/>
  <w15:chartTrackingRefBased/>
  <w15:docId w15:val="{A46BC593-629C-46F7-B40A-6BEE32FD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63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63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6364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6364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6364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636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636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636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636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6364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6364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6364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6364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6364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6364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6364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6364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63645"/>
    <w:rPr>
      <w:rFonts w:eastAsiaTheme="majorEastAsia" w:cstheme="majorBidi"/>
      <w:color w:val="272727" w:themeColor="text1" w:themeTint="D8"/>
    </w:rPr>
  </w:style>
  <w:style w:type="paragraph" w:styleId="a3">
    <w:name w:val="Title"/>
    <w:basedOn w:val="a"/>
    <w:next w:val="a"/>
    <w:link w:val="Char"/>
    <w:uiPriority w:val="10"/>
    <w:qFormat/>
    <w:rsid w:val="00F63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6364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6364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6364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63645"/>
    <w:pPr>
      <w:spacing w:before="160"/>
      <w:jc w:val="center"/>
    </w:pPr>
    <w:rPr>
      <w:i/>
      <w:iCs/>
      <w:color w:val="404040" w:themeColor="text1" w:themeTint="BF"/>
    </w:rPr>
  </w:style>
  <w:style w:type="character" w:customStyle="1" w:styleId="Char1">
    <w:name w:val="Απόσπασμα Char"/>
    <w:basedOn w:val="a0"/>
    <w:link w:val="a5"/>
    <w:uiPriority w:val="29"/>
    <w:rsid w:val="00F63645"/>
    <w:rPr>
      <w:i/>
      <w:iCs/>
      <w:color w:val="404040" w:themeColor="text1" w:themeTint="BF"/>
    </w:rPr>
  </w:style>
  <w:style w:type="paragraph" w:styleId="a6">
    <w:name w:val="List Paragraph"/>
    <w:basedOn w:val="a"/>
    <w:uiPriority w:val="34"/>
    <w:qFormat/>
    <w:rsid w:val="00F63645"/>
    <w:pPr>
      <w:ind w:left="720"/>
      <w:contextualSpacing/>
    </w:pPr>
  </w:style>
  <w:style w:type="character" w:styleId="a7">
    <w:name w:val="Intense Emphasis"/>
    <w:basedOn w:val="a0"/>
    <w:uiPriority w:val="21"/>
    <w:qFormat/>
    <w:rsid w:val="00F63645"/>
    <w:rPr>
      <w:i/>
      <w:iCs/>
      <w:color w:val="0F4761" w:themeColor="accent1" w:themeShade="BF"/>
    </w:rPr>
  </w:style>
  <w:style w:type="paragraph" w:styleId="a8">
    <w:name w:val="Intense Quote"/>
    <w:basedOn w:val="a"/>
    <w:next w:val="a"/>
    <w:link w:val="Char2"/>
    <w:uiPriority w:val="30"/>
    <w:qFormat/>
    <w:rsid w:val="00F63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63645"/>
    <w:rPr>
      <w:i/>
      <w:iCs/>
      <w:color w:val="0F4761" w:themeColor="accent1" w:themeShade="BF"/>
    </w:rPr>
  </w:style>
  <w:style w:type="character" w:styleId="a9">
    <w:name w:val="Intense Reference"/>
    <w:basedOn w:val="a0"/>
    <w:uiPriority w:val="32"/>
    <w:qFormat/>
    <w:rsid w:val="00F63645"/>
    <w:rPr>
      <w:b/>
      <w:bCs/>
      <w:smallCaps/>
      <w:color w:val="0F4761" w:themeColor="accent1" w:themeShade="BF"/>
      <w:spacing w:val="5"/>
    </w:rPr>
  </w:style>
  <w:style w:type="table" w:styleId="aa">
    <w:name w:val="Table Grid"/>
    <w:basedOn w:val="a1"/>
    <w:uiPriority w:val="59"/>
    <w:unhideWhenUsed/>
    <w:rsid w:val="002D12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690</Words>
  <Characters>3726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1</cp:revision>
  <dcterms:created xsi:type="dcterms:W3CDTF">2024-12-19T20:13:00Z</dcterms:created>
  <dcterms:modified xsi:type="dcterms:W3CDTF">2024-12-19T22:09:00Z</dcterms:modified>
</cp:coreProperties>
</file>