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2F76" w14:textId="77777777" w:rsidR="00C2325A" w:rsidRDefault="00996F08">
      <w:pPr>
        <w:spacing w:after="331" w:line="226" w:lineRule="auto"/>
        <w:ind w:left="0" w:firstLine="0"/>
        <w:jc w:val="left"/>
      </w:pPr>
      <w:r>
        <w:rPr>
          <w:b/>
          <w:sz w:val="20"/>
        </w:rPr>
        <w:t xml:space="preserve">Κατερίνα Πόθου                                                                  Ιστορία του Αρχαίου Κόσμου Α΄ Λυκείου </w:t>
      </w:r>
      <w:r>
        <w:t xml:space="preserve"> </w:t>
      </w:r>
    </w:p>
    <w:p w14:paraId="1AAE8575" w14:textId="77777777" w:rsidR="00C2325A" w:rsidRDefault="00996F08">
      <w:pPr>
        <w:pStyle w:val="1"/>
      </w:pPr>
      <w:r>
        <w:t xml:space="preserve">I </w:t>
      </w:r>
      <w:proofErr w:type="spellStart"/>
      <w:r>
        <w:t>I</w:t>
      </w:r>
      <w:proofErr w:type="spellEnd"/>
      <w:r>
        <w:t xml:space="preserve"> . Η Υ Σ Τ Ε Ρ Η Α Ρ Χ Α Ι Ο Τ Η Τ Α  ( 4 ο ς - 6 ο ς α ι . μ . Χ . ) </w:t>
      </w:r>
    </w:p>
    <w:p w14:paraId="344286D6" w14:textId="77777777" w:rsidR="00C2325A" w:rsidRDefault="00996F08">
      <w:pPr>
        <w:spacing w:after="75" w:line="259" w:lineRule="auto"/>
        <w:ind w:left="0" w:firstLine="0"/>
        <w:jc w:val="left"/>
      </w:pPr>
      <w:r>
        <w:t xml:space="preserve"> </w:t>
      </w:r>
    </w:p>
    <w:p w14:paraId="773B9575" w14:textId="77777777" w:rsidR="00C2325A" w:rsidRDefault="00996F08">
      <w:pPr>
        <w:numPr>
          <w:ilvl w:val="0"/>
          <w:numId w:val="1"/>
        </w:numPr>
        <w:spacing w:after="0" w:line="259" w:lineRule="auto"/>
        <w:ind w:right="27" w:hanging="338"/>
        <w:jc w:val="center"/>
      </w:pPr>
      <w:r>
        <w:rPr>
          <w:b/>
          <w:color w:val="00B050"/>
          <w:sz w:val="28"/>
        </w:rPr>
        <w:t xml:space="preserve">Η εποχή του Ιουστινιανού (6ος αιώνας μ.Χ.) </w:t>
      </w:r>
    </w:p>
    <w:p w14:paraId="43E1A1EA" w14:textId="77777777" w:rsidR="00C2325A" w:rsidRDefault="00996F08">
      <w:pPr>
        <w:spacing w:after="76" w:line="259" w:lineRule="auto"/>
        <w:ind w:left="0" w:firstLine="0"/>
        <w:jc w:val="left"/>
      </w:pPr>
      <w:r>
        <w:t xml:space="preserve"> </w:t>
      </w:r>
    </w:p>
    <w:p w14:paraId="420D63F3" w14:textId="77777777" w:rsidR="00C2325A" w:rsidRDefault="00996F08">
      <w:pPr>
        <w:spacing w:after="0" w:line="259" w:lineRule="auto"/>
        <w:ind w:left="283" w:firstLine="0"/>
        <w:jc w:val="left"/>
      </w:pPr>
      <w:r>
        <w:rPr>
          <w:b/>
          <w:color w:val="C00000"/>
          <w:sz w:val="28"/>
          <w:u w:val="single" w:color="C00000"/>
        </w:rPr>
        <w:t xml:space="preserve">2.2. Η </w:t>
      </w:r>
      <w:r>
        <w:rPr>
          <w:b/>
          <w:color w:val="C00000"/>
          <w:sz w:val="28"/>
          <w:u w:val="single" w:color="C00000"/>
        </w:rPr>
        <w:t>ελληνοχριστιανική οικουμένη</w:t>
      </w:r>
      <w:r>
        <w:rPr>
          <w:b/>
          <w:color w:val="C00000"/>
          <w:sz w:val="28"/>
        </w:rPr>
        <w:t xml:space="preserve">: </w:t>
      </w:r>
    </w:p>
    <w:p w14:paraId="16C0483B" w14:textId="77777777" w:rsidR="00C2325A" w:rsidRDefault="00996F08">
      <w:pPr>
        <w:numPr>
          <w:ilvl w:val="0"/>
          <w:numId w:val="2"/>
        </w:numPr>
        <w:ind w:firstLine="283"/>
      </w:pPr>
      <w:r>
        <w:t xml:space="preserve">Στο εσωτερικό, με την πολιτική του Ιουστινιανού, η Αυτοκρατορία άρχισε να αποκτά </w:t>
      </w:r>
      <w:r>
        <w:rPr>
          <w:b/>
        </w:rPr>
        <w:t xml:space="preserve">τη βυζαντινή της φυσιογνωμία. </w:t>
      </w:r>
    </w:p>
    <w:p w14:paraId="699FC8F0" w14:textId="77777777" w:rsidR="00C2325A" w:rsidRDefault="00996F08">
      <w:pPr>
        <w:spacing w:after="24" w:line="259" w:lineRule="auto"/>
        <w:ind w:left="0" w:firstLine="0"/>
        <w:jc w:val="left"/>
      </w:pPr>
      <w:r>
        <w:t xml:space="preserve"> </w:t>
      </w:r>
    </w:p>
    <w:p w14:paraId="31EC804C" w14:textId="77777777" w:rsidR="00C2325A" w:rsidRDefault="00996F08">
      <w:pPr>
        <w:numPr>
          <w:ilvl w:val="0"/>
          <w:numId w:val="2"/>
        </w:numPr>
        <w:spacing w:after="11" w:line="271" w:lineRule="auto"/>
        <w:ind w:firstLine="283"/>
      </w:pPr>
      <w:r>
        <w:rPr>
          <w:b/>
          <w:u w:val="single" w:color="000000"/>
        </w:rPr>
        <w:t>Στόχος της εσωτερικής πολιτικής του Ιουστινιανού</w:t>
      </w:r>
      <w:r>
        <w:rPr>
          <w:b/>
        </w:rPr>
        <w:t>:</w:t>
      </w:r>
      <w:r>
        <w:t xml:space="preserve"> Η ένωση των υπηκόων με συνδετικά στοιχεία τον </w:t>
      </w:r>
      <w:r>
        <w:rPr>
          <w:b/>
        </w:rPr>
        <w:t>ελληνικό πολιτισ</w:t>
      </w:r>
      <w:r>
        <w:rPr>
          <w:b/>
        </w:rPr>
        <w:t>μό</w:t>
      </w:r>
      <w:r>
        <w:t xml:space="preserve"> και τη </w:t>
      </w:r>
      <w:r>
        <w:rPr>
          <w:b/>
        </w:rPr>
        <w:t>χριστιανική πίστη</w:t>
      </w:r>
      <w:r>
        <w:t xml:space="preserve"> </w:t>
      </w:r>
      <w:r>
        <w:rPr>
          <w:rFonts w:ascii="Wingdings 3" w:eastAsia="Wingdings 3" w:hAnsi="Wingdings 3" w:cs="Wingdings 3"/>
        </w:rPr>
        <w:t></w:t>
      </w:r>
      <w:r>
        <w:t xml:space="preserve"> </w:t>
      </w:r>
      <w:r>
        <w:rPr>
          <w:b/>
        </w:rPr>
        <w:t xml:space="preserve">Ελληνοχριστιανική οικουμένη. </w:t>
      </w:r>
    </w:p>
    <w:p w14:paraId="5902A6AB" w14:textId="77777777" w:rsidR="00C2325A" w:rsidRDefault="00996F08">
      <w:pPr>
        <w:spacing w:after="30" w:line="259" w:lineRule="auto"/>
        <w:ind w:left="0" w:firstLine="0"/>
        <w:jc w:val="left"/>
      </w:pPr>
      <w:r>
        <w:t xml:space="preserve"> </w:t>
      </w:r>
    </w:p>
    <w:p w14:paraId="55C0DDC3" w14:textId="77777777" w:rsidR="00C2325A" w:rsidRDefault="00996F08">
      <w:pPr>
        <w:numPr>
          <w:ilvl w:val="0"/>
          <w:numId w:val="2"/>
        </w:numPr>
        <w:spacing w:after="0" w:line="259" w:lineRule="auto"/>
        <w:ind w:firstLine="283"/>
      </w:pPr>
      <w:r>
        <w:rPr>
          <w:b/>
          <w:u w:val="single" w:color="000000"/>
        </w:rPr>
        <w:t>Κύρια σημεία της εσωτερικής πολιτικής του Ιουστινιανού</w:t>
      </w:r>
      <w:r>
        <w:rPr>
          <w:b/>
        </w:rPr>
        <w:t>:</w:t>
      </w:r>
      <w:r>
        <w:t xml:space="preserve"> </w:t>
      </w:r>
    </w:p>
    <w:p w14:paraId="63087467" w14:textId="77777777" w:rsidR="00C2325A" w:rsidRDefault="00996F08">
      <w:pPr>
        <w:spacing w:after="58" w:line="259" w:lineRule="auto"/>
        <w:ind w:left="283" w:right="-53" w:firstLine="0"/>
        <w:jc w:val="left"/>
      </w:pPr>
      <w:r>
        <w:rPr>
          <w:noProof/>
        </w:rPr>
        <w:drawing>
          <wp:inline distT="0" distB="0" distL="0" distR="0" wp14:anchorId="6E9F856F" wp14:editId="78CEE42A">
            <wp:extent cx="5093209" cy="316992"/>
            <wp:effectExtent l="0" t="0" r="0" b="0"/>
            <wp:docPr id="1688" name="Picture 1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" name="Picture 16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3209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68934" w14:textId="77777777" w:rsidR="00C2325A" w:rsidRDefault="00996F08">
      <w:pPr>
        <w:ind w:left="-5"/>
      </w:pPr>
      <w:r>
        <w:t xml:space="preserve">και προβλήθηκε η ιδέα ότι κυβερνά ως </w:t>
      </w:r>
      <w:r>
        <w:rPr>
          <w:b/>
        </w:rPr>
        <w:t>εκλεκτός του Θεού</w:t>
      </w:r>
      <w:r>
        <w:t xml:space="preserve"> για το καλό των υπηκόων του. </w:t>
      </w:r>
    </w:p>
    <w:p w14:paraId="36AA7E69" w14:textId="77777777" w:rsidR="00C2325A" w:rsidRDefault="00996F08">
      <w:pPr>
        <w:spacing w:after="0" w:line="259" w:lineRule="auto"/>
        <w:ind w:left="0" w:firstLine="0"/>
        <w:jc w:val="left"/>
      </w:pPr>
      <w:r>
        <w:t xml:space="preserve"> </w:t>
      </w:r>
    </w:p>
    <w:p w14:paraId="45C058E9" w14:textId="77777777" w:rsidR="00C2325A" w:rsidRDefault="00996F08">
      <w:pPr>
        <w:spacing w:after="0" w:line="259" w:lineRule="auto"/>
        <w:ind w:left="3241" w:firstLine="0"/>
        <w:jc w:val="center"/>
      </w:pPr>
      <w:r>
        <w:rPr>
          <w:b/>
        </w:rPr>
        <w:t xml:space="preserve">: </w:t>
      </w:r>
    </w:p>
    <w:p w14:paraId="7F1FC984" w14:textId="77777777" w:rsidR="00C2325A" w:rsidRDefault="00996F08">
      <w:pPr>
        <w:spacing w:after="11" w:line="271" w:lineRule="auto"/>
        <w:ind w:left="29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140E61" wp14:editId="0078611B">
            <wp:simplePos x="0" y="0"/>
            <wp:positionH relativeFrom="column">
              <wp:posOffset>179781</wp:posOffset>
            </wp:positionH>
            <wp:positionV relativeFrom="paragraph">
              <wp:posOffset>-204787</wp:posOffset>
            </wp:positionV>
            <wp:extent cx="3465576" cy="313944"/>
            <wp:effectExtent l="0" t="0" r="0" b="0"/>
            <wp:wrapSquare wrapText="bothSides"/>
            <wp:docPr id="1689" name="Picture 1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" name="Picture 16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5576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α.</w:t>
      </w:r>
    </w:p>
    <w:p w14:paraId="0182DC38" w14:textId="77777777" w:rsidR="00C2325A" w:rsidRDefault="00996F08">
      <w:pPr>
        <w:ind w:left="293"/>
      </w:pPr>
      <w:r>
        <w:rPr>
          <w:b/>
        </w:rPr>
        <w:t>β.</w:t>
      </w:r>
      <w:r>
        <w:t xml:space="preserve"> </w:t>
      </w:r>
      <w:r>
        <w:t xml:space="preserve">Κλείσιμο της νεοπλατωνικής σχολής των Αθηνών (529 μ.Χ.) και δήμευση της </w:t>
      </w:r>
    </w:p>
    <w:p w14:paraId="14470F36" w14:textId="77777777" w:rsidR="00C2325A" w:rsidRDefault="00996F08">
      <w:pPr>
        <w:ind w:left="-5"/>
      </w:pPr>
      <w:r>
        <w:t xml:space="preserve">περιουσίας της. </w:t>
      </w:r>
    </w:p>
    <w:p w14:paraId="051F4D4F" w14:textId="77777777" w:rsidR="00C2325A" w:rsidRDefault="00996F08">
      <w:pPr>
        <w:ind w:left="293"/>
      </w:pPr>
      <w:r>
        <w:rPr>
          <w:b/>
        </w:rPr>
        <w:t>γ.</w:t>
      </w:r>
      <w:r>
        <w:t xml:space="preserve"> Εξόντωση των θρησκευτικών μειονοτήτων, πλην των Εβραίων. </w:t>
      </w:r>
    </w:p>
    <w:p w14:paraId="1CE581A4" w14:textId="77777777" w:rsidR="00C2325A" w:rsidRDefault="00996F08">
      <w:pPr>
        <w:ind w:left="293"/>
      </w:pPr>
      <w:r>
        <w:rPr>
          <w:b/>
        </w:rPr>
        <w:t>δ.</w:t>
      </w:r>
      <w:r>
        <w:t xml:space="preserve"> Ενθάρρυνση του ιεραποστολικού έργου </w:t>
      </w:r>
      <w:r>
        <w:t xml:space="preserve">(Καύκασο, Νουβία, Σαχάρα, Δούναβη). </w:t>
      </w:r>
    </w:p>
    <w:p w14:paraId="2BAB39AC" w14:textId="77777777" w:rsidR="00C2325A" w:rsidRDefault="00996F08">
      <w:pPr>
        <w:ind w:left="293"/>
      </w:pPr>
      <w:r>
        <w:rPr>
          <w:b/>
        </w:rPr>
        <w:t>ε.</w:t>
      </w:r>
      <w:r>
        <w:t xml:space="preserve"> Οικοδόμηση της Αγίας Σοφίας. </w:t>
      </w:r>
    </w:p>
    <w:p w14:paraId="62D04972" w14:textId="77777777" w:rsidR="00C2325A" w:rsidRDefault="00996F08">
      <w:pPr>
        <w:spacing w:after="28" w:line="259" w:lineRule="auto"/>
        <w:ind w:left="0" w:firstLine="0"/>
        <w:jc w:val="left"/>
      </w:pPr>
      <w:r>
        <w:t xml:space="preserve"> </w:t>
      </w:r>
    </w:p>
    <w:p w14:paraId="6B9E8752" w14:textId="77777777" w:rsidR="00C2325A" w:rsidRDefault="00996F08">
      <w:pPr>
        <w:spacing w:after="0" w:line="259" w:lineRule="auto"/>
        <w:ind w:left="278"/>
        <w:jc w:val="left"/>
      </w:pPr>
      <w:r>
        <w:rPr>
          <w:b/>
          <w:u w:val="single" w:color="000000"/>
        </w:rPr>
        <w:t>3. Η συστηματική κωδικοποίηση του Δικαίου</w:t>
      </w:r>
      <w:r>
        <w:rPr>
          <w:b/>
        </w:rPr>
        <w:t xml:space="preserve">: </w:t>
      </w:r>
    </w:p>
    <w:p w14:paraId="3BBA4256" w14:textId="77777777" w:rsidR="00C2325A" w:rsidRDefault="00996F08">
      <w:pPr>
        <w:ind w:left="-15" w:firstLine="283"/>
      </w:pPr>
      <w:r>
        <w:t xml:space="preserve">Σπουδαίο έργο του Ιουστινιανού ήταν η κωδικοποίηση των νόμων, που αποτέλεσαν το </w:t>
      </w:r>
      <w:proofErr w:type="spellStart"/>
      <w:r>
        <w:rPr>
          <w:b/>
        </w:rPr>
        <w:t>Corpus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juris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civilis</w:t>
      </w:r>
      <w:proofErr w:type="spellEnd"/>
      <w:r>
        <w:t xml:space="preserve"> </w:t>
      </w:r>
      <w:r>
        <w:rPr>
          <w:b/>
        </w:rPr>
        <w:t>(αστικό δίκαιο),</w:t>
      </w:r>
      <w:r>
        <w:t xml:space="preserve"> το οποίο επηρέασε τη νεότερη νομοθεσία στην Ευρώπη. </w:t>
      </w:r>
    </w:p>
    <w:p w14:paraId="738FA64B" w14:textId="77777777" w:rsidR="00C2325A" w:rsidRDefault="00996F08">
      <w:pPr>
        <w:ind w:left="-15" w:firstLine="283"/>
      </w:pPr>
      <w:r>
        <w:t>Ενώ έως τότε η νομοθεσία γραφόταν στη λατινική γλώσσα, ο Ιουστινιανός χρησιμοποίησε τ</w:t>
      </w:r>
      <w:r>
        <w:t xml:space="preserve">ην </w:t>
      </w:r>
      <w:r>
        <w:rPr>
          <w:b/>
        </w:rPr>
        <w:t>ελληνική,</w:t>
      </w:r>
      <w:r>
        <w:t xml:space="preserve"> που ήταν κατανοητή στο λαό. </w:t>
      </w:r>
    </w:p>
    <w:p w14:paraId="68EB8F45" w14:textId="77777777" w:rsidR="00C2325A" w:rsidRDefault="00996F08">
      <w:pPr>
        <w:spacing w:after="0" w:line="259" w:lineRule="auto"/>
        <w:ind w:left="0" w:firstLine="0"/>
        <w:jc w:val="left"/>
      </w:pPr>
      <w:r>
        <w:t xml:space="preserve"> </w:t>
      </w:r>
    </w:p>
    <w:p w14:paraId="2FE42601" w14:textId="77777777" w:rsidR="00C2325A" w:rsidRDefault="00996F08">
      <w:pPr>
        <w:spacing w:after="53" w:line="259" w:lineRule="auto"/>
        <w:ind w:left="0" w:right="-4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31EF53" wp14:editId="07B70492">
                <wp:extent cx="5304384" cy="344013"/>
                <wp:effectExtent l="0" t="0" r="0" b="0"/>
                <wp:docPr id="1452" name="Group 1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4384" cy="344013"/>
                          <a:chOff x="0" y="0"/>
                          <a:chExt cx="5304384" cy="344013"/>
                        </a:xfrm>
                      </wpg:grpSpPr>
                      <wps:wsp>
                        <wps:cNvPr id="1337" name="Rectangle 1337"/>
                        <wps:cNvSpPr/>
                        <wps:spPr>
                          <a:xfrm>
                            <a:off x="179781" y="0"/>
                            <a:ext cx="101346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37039C" w14:textId="77777777" w:rsidR="00C2325A" w:rsidRDefault="00996F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8" name="Rectangle 1338"/>
                        <wps:cNvSpPr/>
                        <wps:spPr>
                          <a:xfrm>
                            <a:off x="255981" y="0"/>
                            <a:ext cx="101346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CB98AD" w14:textId="77777777" w:rsidR="00C2325A" w:rsidRDefault="00996F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383997" y="32576"/>
                            <a:ext cx="6544115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6D3DB" w14:textId="77777777" w:rsidR="00C2325A" w:rsidRDefault="00996F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Θεμελίωση νέου διοικητικού συστήματος που απέτρεψε τον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1" name="Shape 1741"/>
                        <wps:cNvSpPr/>
                        <wps:spPr>
                          <a:xfrm>
                            <a:off x="179781" y="152552"/>
                            <a:ext cx="5096002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6002" h="15239">
                                <a:moveTo>
                                  <a:pt x="0" y="0"/>
                                </a:moveTo>
                                <a:lnTo>
                                  <a:pt x="5096002" y="0"/>
                                </a:lnTo>
                                <a:lnTo>
                                  <a:pt x="5096002" y="15239"/>
                                </a:lnTo>
                                <a:lnTo>
                                  <a:pt x="0" y="152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0" y="207835"/>
                            <a:ext cx="2122591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CCB12" w14:textId="77777777" w:rsidR="00C2325A" w:rsidRDefault="00996F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εκφεουδαρχισμό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της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1611198" y="207835"/>
                            <a:ext cx="1514109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F6602" w14:textId="77777777" w:rsidR="00C2325A" w:rsidRDefault="00996F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αυτοκρατορίας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2763596" y="175259"/>
                            <a:ext cx="67498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C1A75B" w14:textId="77777777" w:rsidR="00C2325A" w:rsidRDefault="00996F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2827604" y="175259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EDAB5" w14:textId="77777777" w:rsidR="00C2325A" w:rsidRDefault="00996F0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2" name="Shape 1742"/>
                        <wps:cNvSpPr/>
                        <wps:spPr>
                          <a:xfrm>
                            <a:off x="0" y="327811"/>
                            <a:ext cx="2763647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3647" h="15241">
                                <a:moveTo>
                                  <a:pt x="0" y="0"/>
                                </a:moveTo>
                                <a:lnTo>
                                  <a:pt x="2763647" y="0"/>
                                </a:lnTo>
                                <a:lnTo>
                                  <a:pt x="2763647" y="15241"/>
                                </a:lnTo>
                                <a:lnTo>
                                  <a:pt x="0" y="152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2" style="width:417.668pt;height:27.0876pt;mso-position-horizontal-relative:char;mso-position-vertical-relative:line" coordsize="53043,3440">
                <v:rect id="Rectangle 1337" style="position:absolute;width:1013;height:2243;left:179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1338" style="position:absolute;width:1013;height:2243;left:255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237" style="position:absolute;width:65441;height:1811;left:3839;top:3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Θεμελίωση νέου διοικητικού συστήματος που απέτρεψε τον </w:t>
                        </w:r>
                      </w:p>
                    </w:txbxContent>
                  </v:textbox>
                </v:rect>
                <v:shape id="Shape 1743" style="position:absolute;width:50960;height:152;left:1797;top:1525;" coordsize="5096002,15239" path="m0,0l5096002,0l5096002,15239l0,15239l0,0">
                  <v:stroke weight="0pt" endcap="flat" joinstyle="miter" miterlimit="10" on="false" color="#000000" opacity="0"/>
                  <v:fill on="true" color="#000000"/>
                </v:shape>
                <v:rect id="Rectangle 239" style="position:absolute;width:21225;height:1811;left:0;top:2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εκφεουδαρχισμό της </w:t>
                        </w:r>
                      </w:p>
                    </w:txbxContent>
                  </v:textbox>
                </v:rect>
                <v:rect id="Rectangle 240" style="position:absolute;width:15141;height:1811;left:16111;top:2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αυτοκρατορίας</w:t>
                        </w:r>
                      </w:p>
                    </w:txbxContent>
                  </v:textbox>
                </v:rect>
                <v:rect id="Rectangle 241" style="position:absolute;width:674;height:2243;left:27635;top:1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242" style="position:absolute;width:506;height:2243;left:28276;top:1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44" style="position:absolute;width:27636;height:152;left:0;top:3278;" coordsize="2763647,15241" path="m0,0l2763647,0l2763647,15241l0,15241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E92C955" w14:textId="77777777" w:rsidR="00C2325A" w:rsidRDefault="00996F08">
      <w:pPr>
        <w:ind w:left="293"/>
      </w:pPr>
      <w:r>
        <w:rPr>
          <w:b/>
        </w:rPr>
        <w:t>α.</w:t>
      </w:r>
      <w:r>
        <w:t xml:space="preserve"> </w:t>
      </w:r>
      <w:r>
        <w:t xml:space="preserve">Παραχώρηση πολιτικής εξουσίας σε στρατιωτικούς διοικητές ευάλωτων </w:t>
      </w:r>
    </w:p>
    <w:p w14:paraId="40429AF8" w14:textId="77777777" w:rsidR="00C2325A" w:rsidRDefault="00996F08">
      <w:pPr>
        <w:ind w:left="-5"/>
      </w:pPr>
      <w:r>
        <w:t xml:space="preserve">περιοχών σε εχθρικές επιθέσεις. </w:t>
      </w:r>
    </w:p>
    <w:p w14:paraId="563FF4CF" w14:textId="77777777" w:rsidR="00C2325A" w:rsidRDefault="00996F08">
      <w:pPr>
        <w:ind w:left="-15" w:firstLine="283"/>
      </w:pPr>
      <w:r>
        <w:rPr>
          <w:b/>
        </w:rPr>
        <w:t xml:space="preserve">β. </w:t>
      </w:r>
      <w:r>
        <w:t xml:space="preserve">Προσπάθεια περιορισμού των </w:t>
      </w:r>
      <w:r>
        <w:rPr>
          <w:b/>
        </w:rPr>
        <w:t>«δυνατών»,</w:t>
      </w:r>
      <w:r>
        <w:t xml:space="preserve"> δηλαδή των μεγαλοκτηματιών, με σειρά νόμων. </w:t>
      </w:r>
    </w:p>
    <w:sectPr w:rsidR="00C2325A">
      <w:pgSz w:w="11906" w:h="16838"/>
      <w:pgMar w:top="1440" w:right="1798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3E4"/>
    <w:multiLevelType w:val="hybridMultilevel"/>
    <w:tmpl w:val="A5DC5DB6"/>
    <w:lvl w:ilvl="0" w:tplc="73AAB4BC">
      <w:start w:val="1"/>
      <w:numFmt w:val="bullet"/>
      <w:lvlText w:val=""/>
      <w:lvlJc w:val="left"/>
      <w:pPr>
        <w:ind w:left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A6F5EC">
      <w:start w:val="1"/>
      <w:numFmt w:val="bullet"/>
      <w:lvlText w:val="o"/>
      <w:lvlJc w:val="left"/>
      <w:pPr>
        <w:ind w:left="13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84EBFE">
      <w:start w:val="1"/>
      <w:numFmt w:val="bullet"/>
      <w:lvlText w:val="▪"/>
      <w:lvlJc w:val="left"/>
      <w:pPr>
        <w:ind w:left="20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C0B816">
      <w:start w:val="1"/>
      <w:numFmt w:val="bullet"/>
      <w:lvlText w:val="•"/>
      <w:lvlJc w:val="left"/>
      <w:pPr>
        <w:ind w:left="28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2C054">
      <w:start w:val="1"/>
      <w:numFmt w:val="bullet"/>
      <w:lvlText w:val="o"/>
      <w:lvlJc w:val="left"/>
      <w:pPr>
        <w:ind w:left="352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A67770">
      <w:start w:val="1"/>
      <w:numFmt w:val="bullet"/>
      <w:lvlText w:val="▪"/>
      <w:lvlJc w:val="left"/>
      <w:pPr>
        <w:ind w:left="424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602B6">
      <w:start w:val="1"/>
      <w:numFmt w:val="bullet"/>
      <w:lvlText w:val="•"/>
      <w:lvlJc w:val="left"/>
      <w:pPr>
        <w:ind w:left="496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3A2C26">
      <w:start w:val="1"/>
      <w:numFmt w:val="bullet"/>
      <w:lvlText w:val="o"/>
      <w:lvlJc w:val="left"/>
      <w:pPr>
        <w:ind w:left="568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9290FE">
      <w:start w:val="1"/>
      <w:numFmt w:val="bullet"/>
      <w:lvlText w:val="▪"/>
      <w:lvlJc w:val="left"/>
      <w:pPr>
        <w:ind w:left="64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3A44E6"/>
    <w:multiLevelType w:val="hybridMultilevel"/>
    <w:tmpl w:val="C79E751C"/>
    <w:lvl w:ilvl="0" w:tplc="218A1520">
      <w:start w:val="2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2EBB06">
      <w:start w:val="1"/>
      <w:numFmt w:val="lowerLetter"/>
      <w:lvlText w:val="%2"/>
      <w:lvlJc w:val="left"/>
      <w:pPr>
        <w:ind w:left="2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663B28">
      <w:start w:val="1"/>
      <w:numFmt w:val="lowerRoman"/>
      <w:lvlText w:val="%3"/>
      <w:lvlJc w:val="left"/>
      <w:pPr>
        <w:ind w:left="2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FA9940">
      <w:start w:val="1"/>
      <w:numFmt w:val="decimal"/>
      <w:lvlText w:val="%4"/>
      <w:lvlJc w:val="left"/>
      <w:pPr>
        <w:ind w:left="3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4A0492">
      <w:start w:val="1"/>
      <w:numFmt w:val="lowerLetter"/>
      <w:lvlText w:val="%5"/>
      <w:lvlJc w:val="left"/>
      <w:pPr>
        <w:ind w:left="4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0219A2">
      <w:start w:val="1"/>
      <w:numFmt w:val="lowerRoman"/>
      <w:lvlText w:val="%6"/>
      <w:lvlJc w:val="left"/>
      <w:pPr>
        <w:ind w:left="4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92A742">
      <w:start w:val="1"/>
      <w:numFmt w:val="decimal"/>
      <w:lvlText w:val="%7"/>
      <w:lvlJc w:val="left"/>
      <w:pPr>
        <w:ind w:left="5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8329A">
      <w:start w:val="1"/>
      <w:numFmt w:val="lowerLetter"/>
      <w:lvlText w:val="%8"/>
      <w:lvlJc w:val="left"/>
      <w:pPr>
        <w:ind w:left="6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7418D6">
      <w:start w:val="1"/>
      <w:numFmt w:val="lowerRoman"/>
      <w:lvlText w:val="%9"/>
      <w:lvlJc w:val="left"/>
      <w:pPr>
        <w:ind w:left="7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7F0DA4"/>
    <w:multiLevelType w:val="hybridMultilevel"/>
    <w:tmpl w:val="F22E6520"/>
    <w:lvl w:ilvl="0" w:tplc="FF389942">
      <w:start w:val="5"/>
      <w:numFmt w:val="upperRoman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8AC6B2">
      <w:start w:val="1"/>
      <w:numFmt w:val="lowerLetter"/>
      <w:lvlText w:val="%2"/>
      <w:lvlJc w:val="left"/>
      <w:pPr>
        <w:ind w:left="2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CE4654">
      <w:start w:val="1"/>
      <w:numFmt w:val="lowerRoman"/>
      <w:lvlText w:val="%3"/>
      <w:lvlJc w:val="left"/>
      <w:pPr>
        <w:ind w:left="3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FA234E">
      <w:start w:val="1"/>
      <w:numFmt w:val="decimal"/>
      <w:lvlText w:val="%4"/>
      <w:lvlJc w:val="left"/>
      <w:pPr>
        <w:ind w:left="3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96198C">
      <w:start w:val="1"/>
      <w:numFmt w:val="lowerLetter"/>
      <w:lvlText w:val="%5"/>
      <w:lvlJc w:val="left"/>
      <w:pPr>
        <w:ind w:left="4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6AABDC">
      <w:start w:val="1"/>
      <w:numFmt w:val="lowerRoman"/>
      <w:lvlText w:val="%6"/>
      <w:lvlJc w:val="left"/>
      <w:pPr>
        <w:ind w:left="5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A8FD5C">
      <w:start w:val="1"/>
      <w:numFmt w:val="decimal"/>
      <w:lvlText w:val="%7"/>
      <w:lvlJc w:val="left"/>
      <w:pPr>
        <w:ind w:left="5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5C4F54">
      <w:start w:val="1"/>
      <w:numFmt w:val="lowerLetter"/>
      <w:lvlText w:val="%8"/>
      <w:lvlJc w:val="left"/>
      <w:pPr>
        <w:ind w:left="6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4A10C8">
      <w:start w:val="1"/>
      <w:numFmt w:val="lowerRoman"/>
      <w:lvlText w:val="%9"/>
      <w:lvlJc w:val="left"/>
      <w:pPr>
        <w:ind w:left="7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25A"/>
    <w:rsid w:val="00996F08"/>
    <w:rsid w:val="00C2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1705"/>
  <w15:docId w15:val="{77B672DF-67DF-454D-AA0C-A44F0AA9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Char"/>
    <w:uiPriority w:val="9"/>
    <w:qFormat/>
    <w:pPr>
      <w:keepNext/>
      <w:keepLines/>
      <w:numPr>
        <w:numId w:val="3"/>
      </w:numPr>
      <w:spacing w:after="5"/>
      <w:ind w:left="10" w:right="81" w:hanging="10"/>
      <w:jc w:val="center"/>
      <w:outlineLvl w:val="0"/>
    </w:pPr>
    <w:rPr>
      <w:rFonts w:ascii="Times New Roman" w:eastAsia="Times New Roman" w:hAnsi="Times New Roman" w:cs="Times New Roman"/>
      <w:b/>
      <w:color w:val="0000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Times New Roman" w:eastAsia="Times New Roman" w:hAnsi="Times New Roman" w:cs="Times New Roman"/>
      <w:b/>
      <w:color w:val="0000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2.2. Η ελληνοχριστιανική οικουμένη</dc:title>
  <dc:subject/>
  <dc:creator>Κατερίνα Πόθου</dc:creator>
  <cp:keywords/>
  <cp:lastModifiedBy>Aikaterini Tsinaslanidou</cp:lastModifiedBy>
  <cp:revision>2</cp:revision>
  <dcterms:created xsi:type="dcterms:W3CDTF">2024-04-05T10:59:00Z</dcterms:created>
  <dcterms:modified xsi:type="dcterms:W3CDTF">2024-04-05T10:59:00Z</dcterms:modified>
</cp:coreProperties>
</file>