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"/>
        <w:jc w:val="center"/>
        <w:rPr>
          <w:rFonts w:ascii="Book Antiqua" w:cs="Book Antiqua" w:hAnsi="Book Antiqua" w:eastAsia="Book Antiqua"/>
          <w:b w:val="1"/>
          <w:bCs w:val="1"/>
          <w:sz w:val="26"/>
          <w:szCs w:val="26"/>
        </w:rPr>
      </w:pP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Οικονομία και κοινωνία στην Δυτική Ευρώπη</w:t>
      </w:r>
      <w:r>
        <w:rPr>
          <w:rFonts w:ascii="Book Antiqua" w:hAnsi="Book Antiqua"/>
          <w:b w:val="1"/>
          <w:bCs w:val="1"/>
          <w:sz w:val="26"/>
          <w:szCs w:val="26"/>
          <w:rtl w:val="0"/>
        </w:rPr>
        <w:t xml:space="preserve">.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Το σύστημα της Φεουδαρχίας</w:t>
      </w:r>
      <w:r>
        <w:rPr>
          <w:rFonts w:ascii="Book Antiqua" w:hAnsi="Book Antiqua"/>
          <w:b w:val="1"/>
          <w:bCs w:val="1"/>
          <w:sz w:val="26"/>
          <w:szCs w:val="26"/>
          <w:rtl w:val="0"/>
        </w:rPr>
        <w:t>.</w:t>
      </w:r>
    </w:p>
    <w:p>
      <w:pPr>
        <w:pStyle w:val="Κύριο τμήμα"/>
        <w:jc w:val="center"/>
        <w:rPr>
          <w:rFonts w:ascii="Book Antiqua" w:cs="Book Antiqua" w:hAnsi="Book Antiqua" w:eastAsia="Book Antiqua"/>
          <w:b w:val="1"/>
          <w:bCs w:val="1"/>
          <w:sz w:val="26"/>
          <w:szCs w:val="26"/>
        </w:rPr>
      </w:pPr>
    </w:p>
    <w:p>
      <w:pPr>
        <w:pStyle w:val="Κύριο τμήμα"/>
        <w:jc w:val="both"/>
        <w:rPr>
          <w:rFonts w:ascii="Book Antiqua" w:cs="Book Antiqua" w:hAnsi="Book Antiqua" w:eastAsia="Book Antiqua"/>
          <w:b w:val="1"/>
          <w:bCs w:val="1"/>
          <w:sz w:val="26"/>
          <w:szCs w:val="26"/>
        </w:rPr>
      </w:pPr>
    </w:p>
    <w:p>
      <w:pPr>
        <w:pStyle w:val="Κύριο τμήμα"/>
        <w:jc w:val="both"/>
        <w:rPr>
          <w:rFonts w:ascii="Book Antiqua" w:cs="Book Antiqua" w:hAnsi="Book Antiqua" w:eastAsia="Book Antiqua"/>
          <w:b w:val="0"/>
          <w:bCs w:val="0"/>
          <w:sz w:val="26"/>
          <w:szCs w:val="26"/>
        </w:rPr>
      </w:pPr>
      <w:r>
        <w:rPr>
          <w:rFonts w:ascii="Book Antiqua" w:cs="Book Antiqua" w:hAnsi="Book Antiqua" w:eastAsia="Book Antiqua"/>
          <w:b w:val="1"/>
          <w:bCs w:val="1"/>
          <w:sz w:val="26"/>
          <w:szCs w:val="26"/>
        </w:rPr>
        <w:tab/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Τον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8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ο αιώνα καταρρέει η δυναστεία των Μεροβιγγείων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Η μεγάλη μάζα των υπηκόων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που αποτελείται από αγρότες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-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φτωχός πληθυσμός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- 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δυσκολεύεται πολύ να αντιμετωπίσει την οικονομική κρίση που ακολούθησε και την περιρρέουσα ατμόσφαιρα σύγχυσης και ανασφάλειας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</w:p>
    <w:p>
      <w:pPr>
        <w:pStyle w:val="Κύριο τμήμα"/>
        <w:jc w:val="both"/>
        <w:rPr>
          <w:rFonts w:ascii="Book Antiqua" w:cs="Book Antiqua" w:hAnsi="Book Antiqua" w:eastAsia="Book Antiqua"/>
          <w:b w:val="0"/>
          <w:bCs w:val="0"/>
          <w:sz w:val="26"/>
          <w:szCs w:val="26"/>
        </w:rPr>
      </w:pPr>
      <w:r>
        <w:rPr>
          <w:rFonts w:ascii="Book Antiqua" w:cs="Book Antiqua" w:hAnsi="Book Antiqua" w:eastAsia="Book Antiqua"/>
          <w:b w:val="0"/>
          <w:bCs w:val="0"/>
          <w:sz w:val="26"/>
          <w:szCs w:val="26"/>
          <w:rtl w:val="0"/>
        </w:rPr>
        <w:tab/>
        <w:t>Μέσα σε αυτό το πλαίσιο αναπτύσσονται σχέσεις εξάρτησης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: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οι ιεραρχικά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ανώτεροι άρχοντες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 (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κομήτες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βαρώνοι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μαρκήσιοι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)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αλλά και κληρικοί διαθέτουν τμήματα γης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(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φέουδα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)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στους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κατώτερους άρχοντες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 (=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βάσαλοι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)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προκειμένου να τα καλλιεργήσουν και κατ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᾽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αυτόν τον τρόπο να ζήσουν από αυτά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Η παραχώρηση του φέουδου επισφραγιζόταν με μία επίσημη τελετή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την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τελετή της περιβολής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που περιλαμβάνει και την υπογραφή σχετικού συμβολαίου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Σε αυτό ο υποτελής κατώτερος αρχών αναγνώριζε ότι όφειλε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πίστη και υποταγή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 καθώς και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στρατιωτικές υπηρεσίες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 στον </w:t>
      </w:r>
      <w:r>
        <w:rPr>
          <w:rFonts w:ascii="Book Antiqua" w:hAnsi="Book Antiqua" w:hint="default"/>
          <w:b w:val="1"/>
          <w:bCs w:val="1"/>
          <w:sz w:val="26"/>
          <w:szCs w:val="26"/>
          <w:rtl w:val="0"/>
        </w:rPr>
        <w:t>φεουδάρχη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</w:p>
    <w:p>
      <w:pPr>
        <w:pStyle w:val="Κύριο τμήμα"/>
        <w:jc w:val="both"/>
        <w:rPr>
          <w:rFonts w:ascii="Book Antiqua" w:cs="Book Antiqua" w:hAnsi="Book Antiqua" w:eastAsia="Book Antiqua"/>
          <w:b w:val="0"/>
          <w:bCs w:val="0"/>
          <w:sz w:val="26"/>
          <w:szCs w:val="26"/>
        </w:rPr>
      </w:pPr>
      <w:r>
        <w:rPr>
          <w:rFonts w:ascii="Book Antiqua" w:cs="Book Antiqua" w:hAnsi="Book Antiqua" w:eastAsia="Book Antiqua"/>
          <w:b w:val="0"/>
          <w:bCs w:val="0"/>
          <w:sz w:val="26"/>
          <w:szCs w:val="26"/>
          <w:rtl w:val="0"/>
        </w:rPr>
        <w:tab/>
        <w:t>Τον κοινωνικό κορμό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τη βάση δηλαδή της κοινωνικής πυραμίδας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αποτελούν οι ελεύθεροι γεωργοί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οι πάροικοι και οι δούλοι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Η πάροικοι είναι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: 1)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δεμένοι με τη γη που καλλιεργούν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2)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καταβάλουν φόρο στο φεουδάρχη και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3)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δεν μπορούν ούτε να νυμφευθούν χωρίς την άδειά του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Οι δούλοι είναι τρόπον τινά κινητά αντικείμενα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.</w:t>
      </w:r>
    </w:p>
    <w:p>
      <w:pPr>
        <w:pStyle w:val="Κύριο τμήμα"/>
        <w:jc w:val="both"/>
      </w:pPr>
      <w:r>
        <w:rPr>
          <w:rFonts w:ascii="Book Antiqua" w:cs="Book Antiqua" w:hAnsi="Book Antiqua" w:eastAsia="Book Antiqua"/>
          <w:b w:val="0"/>
          <w:bCs w:val="0"/>
          <w:sz w:val="26"/>
          <w:szCs w:val="26"/>
          <w:rtl w:val="0"/>
        </w:rPr>
        <w:tab/>
        <w:t xml:space="preserve">Επί Καρλομάγνου και διαδόχων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(9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ος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-10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ος αιώνας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)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ακμάζει το φεουδαρχικό σύστημα καθώς βασιλιάς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ανώτεροι άρχοντες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,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κληρικοί και αξιωματούχοι κατέχουν φέουδα τα οποία διαθέτουν στους κατώτερους άρχοντες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(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υποτελείς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).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Τώρα πλέον και ο στρατός είναι φεουδαρχικός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.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Τον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11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 xml:space="preserve">ο αιώνα με την κατάρρευση της δυναστείας των Καρολιδών και τις συνακόλουθες εχθρικές επιδρομές 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-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καταστάσεις οι οποίες δημιούργησαν εκ νέου κλίμα ανασφάλειας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 xml:space="preserve">- </w:t>
      </w:r>
      <w:r>
        <w:rPr>
          <w:rFonts w:ascii="Book Antiqua" w:hAnsi="Book Antiqua" w:hint="default"/>
          <w:b w:val="0"/>
          <w:bCs w:val="0"/>
          <w:sz w:val="26"/>
          <w:szCs w:val="26"/>
          <w:rtl w:val="0"/>
        </w:rPr>
        <w:t>τονώνεται και πάλι το φεουδαρχικό σύστημα</w:t>
      </w:r>
      <w:r>
        <w:rPr>
          <w:rFonts w:ascii="Book Antiqua" w:hAnsi="Book Antiqua"/>
          <w:b w:val="0"/>
          <w:bCs w:val="0"/>
          <w:sz w:val="26"/>
          <w:szCs w:val="26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