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Αξιοποιώντας τις πληροφορίες από τα παρακάτω κείμενα και τις ιστορικές σας γνώσεις σχετικά με το Σύνταγμα του 1844: α. να αναφερθείτε στις βασιλικές εξουσίες και στη σημασία του δικαιώματος της καθολικής ψηφοφορίας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Μονάδες 13.</w:t>
      </w:r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b/>
          <w:bCs/>
          <w:color w:val="111111"/>
          <w:lang w:val="el-GR"/>
        </w:rPr>
        <w:t>β. να αποτιμήσετε τη σημασία της θέσπισης του Συντάγματος του 1844 στην εξέλιξη του κοινοβουλευτισμού στην Ελλάδα.</w:t>
      </w:r>
      <w:r w:rsidRPr="001F6ECC">
        <w:rPr>
          <w:rFonts w:eastAsia="Times New Roman" w:cstheme="minorHAnsi"/>
          <w:b/>
          <w:bCs/>
          <w:color w:val="111111"/>
        </w:rPr>
        <w:t> </w:t>
      </w:r>
      <w:proofErr w:type="spellStart"/>
      <w:r w:rsidRPr="001F6ECC">
        <w:rPr>
          <w:rFonts w:eastAsia="Times New Roman" w:cstheme="minorHAnsi"/>
          <w:color w:val="111111"/>
        </w:rPr>
        <w:t>Μονάδες</w:t>
      </w:r>
      <w:proofErr w:type="spellEnd"/>
      <w:r w:rsidRPr="001F6ECC">
        <w:rPr>
          <w:rFonts w:eastAsia="Times New Roman" w:cstheme="minorHAnsi"/>
          <w:color w:val="111111"/>
        </w:rPr>
        <w:t xml:space="preserve"> 12</w:t>
      </w: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Κείμενο Α: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Σύνταγμα μοναρχικό, τον συντηρητισμό του οποίου δεν αναιρούσαν οι αρκετές φιλελεύθερες διατάξεις που κατάφεραν να επιβάλουν τα προοδευτικότερα στοιχεία της Εθνοσυνέλευσης, […] το Σύνταγμα του 1844 συμπληρωνόταν με έναν επαναστατικό για την εποχή του εκλογικό νόμο. Πρόκειται για τον εκλογικό νόμο της 18ης Μαρτίου 1844 που ψήφισε η Εθνοσυνέλευση […] και που αναγνώριζε το δικαίωμα του εκλέγειν «εις όλους τους εντός του βασιλείου γεννηθέντας Έλληνας» που είχαν συμπληρώσει το 25ο έτος της ηλικίας τους και είχαν «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ιδιοκτησίαν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τινά εντός της επαρχίας», είτε κινητή, όπως διευκρινίστηκε στη σχετική συζήτηση, είτε ακίνητη «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προσοδοφόρον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και φοροτελή</w:t>
      </w:r>
      <w:bookmarkStart w:id="0" w:name="_ftnref1"/>
      <w:r w:rsidRPr="001F6ECC">
        <w:rPr>
          <w:rFonts w:eastAsia="Times New Roman" w:cstheme="minorHAnsi"/>
          <w:color w:val="111111"/>
        </w:rPr>
        <w:fldChar w:fldCharType="begin"/>
      </w:r>
      <w:r w:rsidRPr="001F6ECC">
        <w:rPr>
          <w:rFonts w:eastAsia="Times New Roman" w:cstheme="minorHAnsi"/>
          <w:color w:val="111111"/>
          <w:lang w:val="el-GR"/>
        </w:rPr>
        <w:instrText xml:space="preserve"> </w:instrText>
      </w:r>
      <w:r w:rsidRPr="001F6ECC">
        <w:rPr>
          <w:rFonts w:eastAsia="Times New Roman" w:cstheme="minorHAnsi"/>
          <w:color w:val="111111"/>
        </w:rPr>
        <w:instrText>HYPERLINK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 "</w:instrText>
      </w:r>
      <w:r w:rsidRPr="001F6ECC">
        <w:rPr>
          <w:rFonts w:eastAsia="Times New Roman" w:cstheme="minorHAnsi"/>
          <w:color w:val="111111"/>
        </w:rPr>
        <w:instrText>https</w:instrText>
      </w:r>
      <w:r w:rsidRPr="001F6ECC">
        <w:rPr>
          <w:rFonts w:eastAsia="Times New Roman" w:cstheme="minorHAnsi"/>
          <w:color w:val="111111"/>
          <w:lang w:val="el-GR"/>
        </w:rPr>
        <w:instrText>://</w:instrText>
      </w:r>
      <w:r w:rsidRPr="001F6ECC">
        <w:rPr>
          <w:rFonts w:eastAsia="Times New Roman" w:cstheme="minorHAnsi"/>
          <w:color w:val="111111"/>
        </w:rPr>
        <w:instrText>filologika</w:instrText>
      </w:r>
      <w:r w:rsidRPr="001F6ECC">
        <w:rPr>
          <w:rFonts w:eastAsia="Times New Roman" w:cstheme="minorHAnsi"/>
          <w:color w:val="111111"/>
          <w:lang w:val="el-GR"/>
        </w:rPr>
        <w:instrText>.</w:instrText>
      </w:r>
      <w:r w:rsidRPr="001F6ECC">
        <w:rPr>
          <w:rFonts w:eastAsia="Times New Roman" w:cstheme="minorHAnsi"/>
          <w:color w:val="111111"/>
        </w:rPr>
        <w:instrText>gr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lykio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g</w:instrText>
      </w:r>
      <w:r w:rsidRPr="001F6ECC">
        <w:rPr>
          <w:rFonts w:eastAsia="Times New Roman" w:cstheme="minorHAnsi"/>
          <w:color w:val="111111"/>
          <w:lang w:val="el-GR"/>
        </w:rPr>
        <w:instrText>-</w:instrText>
      </w:r>
      <w:r w:rsidRPr="001F6ECC">
        <w:rPr>
          <w:rFonts w:eastAsia="Times New Roman" w:cstheme="minorHAnsi"/>
          <w:color w:val="111111"/>
        </w:rPr>
        <w:instrText>lykiou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prosanatolismou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istoria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syntagma</w:instrText>
      </w:r>
      <w:r w:rsidRPr="001F6ECC">
        <w:rPr>
          <w:rFonts w:eastAsia="Times New Roman" w:cstheme="minorHAnsi"/>
          <w:color w:val="111111"/>
          <w:lang w:val="el-GR"/>
        </w:rPr>
        <w:instrText>-1844/" \</w:instrText>
      </w:r>
      <w:r w:rsidRPr="001F6ECC">
        <w:rPr>
          <w:rFonts w:eastAsia="Times New Roman" w:cstheme="minorHAnsi"/>
          <w:color w:val="111111"/>
        </w:rPr>
        <w:instrText>l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 "_</w:instrText>
      </w:r>
      <w:r w:rsidRPr="001F6ECC">
        <w:rPr>
          <w:rFonts w:eastAsia="Times New Roman" w:cstheme="minorHAnsi"/>
          <w:color w:val="111111"/>
        </w:rPr>
        <w:instrText>ftn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1" </w:instrText>
      </w:r>
      <w:r w:rsidRPr="001F6ECC">
        <w:rPr>
          <w:rFonts w:eastAsia="Times New Roman" w:cstheme="minorHAnsi"/>
          <w:color w:val="111111"/>
        </w:rPr>
        <w:fldChar w:fldCharType="separate"/>
      </w:r>
      <w:r w:rsidRPr="001F6ECC">
        <w:rPr>
          <w:rFonts w:eastAsia="Times New Roman" w:cstheme="minorHAnsi"/>
          <w:color w:val="37ABF6"/>
          <w:u w:val="single"/>
          <w:lang w:val="el-GR"/>
        </w:rPr>
        <w:t>[1]</w:t>
      </w:r>
      <w:r w:rsidRPr="001F6ECC">
        <w:rPr>
          <w:rFonts w:eastAsia="Times New Roman" w:cstheme="minorHAnsi"/>
          <w:color w:val="111111"/>
        </w:rPr>
        <w:fldChar w:fldCharType="end"/>
      </w:r>
      <w:bookmarkEnd w:id="0"/>
      <w:r w:rsidRPr="001F6ECC">
        <w:rPr>
          <w:rFonts w:eastAsia="Times New Roman" w:cstheme="minorHAnsi"/>
          <w:color w:val="111111"/>
          <w:lang w:val="el-GR"/>
        </w:rPr>
        <w:t xml:space="preserve">», ή που εξασκούσαν «οιονδήποτε επάγγελμα ή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ανεξάρτητον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επιτήδευμα» […]. Καθιερώνοντας έτσι ουσιαστικά την καθολική και –με μία σειρά άλλων διατάξεων– την άμεση ψηφοφορία για την ανάδειξη της Βουλής, η Εθνοσυνέλευση […] πρωτοπορούσε, σε σχέση με τα ισχύοντα στις περισσότερες ευρωπαϊκές χώρες της εποχής.</w:t>
      </w:r>
    </w:p>
    <w:p w:rsidR="001F6ECC" w:rsidRP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i/>
          <w:iCs/>
          <w:color w:val="111111"/>
        </w:rPr>
        <w:t> </w:t>
      </w:r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(Νίκος Κ. Αλιβιζάτος, Εισαγωγή στην Ελληνική Συνταγματική Ιστορία, Αθήνα-Κομοτηνή 1981,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σσ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>. 65-66)</w:t>
      </w: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Κείμενο Β: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Στη βαθμιαία ενίσχυση του ρόλου του κοινοβουλίου και στο συνακόλουθο περιορισμό των υπερτροφικών εξουσιών του μονάρχη συνετέλεσε και η καθιέρωση με νόμο της σχεδόν καθολικής και άμεσης ψηφοφορίας (όλοι σχεδόν οι Έλληνες πάνω από 25 χρονών είχαν δικαίωμα ψήφου). […] Η καθολική ψηφοφορία προώθησε σταδιακά την πολιτική χειραφέτηση των λαϊκών στρωμάτων και, όπως όλοι οι κοινοβουλευτικοί θεσμοί, συνέβαλε στη διαμόρφωση μιας δημοκρατικής ιδεολογίας.</w:t>
      </w:r>
    </w:p>
    <w:p w:rsid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(Γιώργος Αναστασιάδης, Κοινοβούλιο και Μοναρχία στην Ελλάδα, Θεσσαλονίκη 1995,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σσ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>. 20-21</w:t>
      </w:r>
      <w:r w:rsidRPr="001F6ECC">
        <w:rPr>
          <w:rFonts w:eastAsia="Times New Roman" w:cstheme="minorHAnsi"/>
          <w:i/>
          <w:i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)</w:t>
      </w:r>
    </w:p>
    <w:p w:rsidR="001F6ECC" w:rsidRP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</w:p>
    <w:bookmarkStart w:id="1" w:name="_ftn1"/>
    <w:p w:rsid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color w:val="111111"/>
        </w:rPr>
        <w:fldChar w:fldCharType="begin"/>
      </w:r>
      <w:r w:rsidRPr="001F6ECC">
        <w:rPr>
          <w:rFonts w:eastAsia="Times New Roman" w:cstheme="minorHAnsi"/>
          <w:color w:val="111111"/>
          <w:lang w:val="el-GR"/>
        </w:rPr>
        <w:instrText xml:space="preserve"> </w:instrText>
      </w:r>
      <w:r w:rsidRPr="001F6ECC">
        <w:rPr>
          <w:rFonts w:eastAsia="Times New Roman" w:cstheme="minorHAnsi"/>
          <w:color w:val="111111"/>
        </w:rPr>
        <w:instrText>HYPERLINK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 "</w:instrText>
      </w:r>
      <w:r w:rsidRPr="001F6ECC">
        <w:rPr>
          <w:rFonts w:eastAsia="Times New Roman" w:cstheme="minorHAnsi"/>
          <w:color w:val="111111"/>
        </w:rPr>
        <w:instrText>https</w:instrText>
      </w:r>
      <w:r w:rsidRPr="001F6ECC">
        <w:rPr>
          <w:rFonts w:eastAsia="Times New Roman" w:cstheme="minorHAnsi"/>
          <w:color w:val="111111"/>
          <w:lang w:val="el-GR"/>
        </w:rPr>
        <w:instrText>://</w:instrText>
      </w:r>
      <w:r w:rsidRPr="001F6ECC">
        <w:rPr>
          <w:rFonts w:eastAsia="Times New Roman" w:cstheme="minorHAnsi"/>
          <w:color w:val="111111"/>
        </w:rPr>
        <w:instrText>filologika</w:instrText>
      </w:r>
      <w:r w:rsidRPr="001F6ECC">
        <w:rPr>
          <w:rFonts w:eastAsia="Times New Roman" w:cstheme="minorHAnsi"/>
          <w:color w:val="111111"/>
          <w:lang w:val="el-GR"/>
        </w:rPr>
        <w:instrText>.</w:instrText>
      </w:r>
      <w:r w:rsidRPr="001F6ECC">
        <w:rPr>
          <w:rFonts w:eastAsia="Times New Roman" w:cstheme="minorHAnsi"/>
          <w:color w:val="111111"/>
        </w:rPr>
        <w:instrText>gr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lykio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g</w:instrText>
      </w:r>
      <w:r w:rsidRPr="001F6ECC">
        <w:rPr>
          <w:rFonts w:eastAsia="Times New Roman" w:cstheme="minorHAnsi"/>
          <w:color w:val="111111"/>
          <w:lang w:val="el-GR"/>
        </w:rPr>
        <w:instrText>-</w:instrText>
      </w:r>
      <w:r w:rsidRPr="001F6ECC">
        <w:rPr>
          <w:rFonts w:eastAsia="Times New Roman" w:cstheme="minorHAnsi"/>
          <w:color w:val="111111"/>
        </w:rPr>
        <w:instrText>lykiou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prosanatolismou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istoria</w:instrText>
      </w:r>
      <w:r w:rsidRPr="001F6ECC">
        <w:rPr>
          <w:rFonts w:eastAsia="Times New Roman" w:cstheme="minorHAnsi"/>
          <w:color w:val="111111"/>
          <w:lang w:val="el-GR"/>
        </w:rPr>
        <w:instrText>/</w:instrText>
      </w:r>
      <w:r w:rsidRPr="001F6ECC">
        <w:rPr>
          <w:rFonts w:eastAsia="Times New Roman" w:cstheme="minorHAnsi"/>
          <w:color w:val="111111"/>
        </w:rPr>
        <w:instrText>syntagma</w:instrText>
      </w:r>
      <w:r w:rsidRPr="001F6ECC">
        <w:rPr>
          <w:rFonts w:eastAsia="Times New Roman" w:cstheme="minorHAnsi"/>
          <w:color w:val="111111"/>
          <w:lang w:val="el-GR"/>
        </w:rPr>
        <w:instrText>-1844/" \</w:instrText>
      </w:r>
      <w:r w:rsidRPr="001F6ECC">
        <w:rPr>
          <w:rFonts w:eastAsia="Times New Roman" w:cstheme="minorHAnsi"/>
          <w:color w:val="111111"/>
        </w:rPr>
        <w:instrText>l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 "_</w:instrText>
      </w:r>
      <w:r w:rsidRPr="001F6ECC">
        <w:rPr>
          <w:rFonts w:eastAsia="Times New Roman" w:cstheme="minorHAnsi"/>
          <w:color w:val="111111"/>
        </w:rPr>
        <w:instrText>ftnref</w:instrText>
      </w:r>
      <w:r w:rsidRPr="001F6ECC">
        <w:rPr>
          <w:rFonts w:eastAsia="Times New Roman" w:cstheme="minorHAnsi"/>
          <w:color w:val="111111"/>
          <w:lang w:val="el-GR"/>
        </w:rPr>
        <w:instrText xml:space="preserve">1" </w:instrText>
      </w:r>
      <w:r w:rsidRPr="001F6ECC">
        <w:rPr>
          <w:rFonts w:eastAsia="Times New Roman" w:cstheme="minorHAnsi"/>
          <w:color w:val="111111"/>
        </w:rPr>
        <w:fldChar w:fldCharType="separate"/>
      </w:r>
      <w:r w:rsidRPr="001F6ECC">
        <w:rPr>
          <w:rFonts w:eastAsia="Times New Roman" w:cstheme="minorHAnsi"/>
          <w:color w:val="37ABF6"/>
          <w:u w:val="single"/>
          <w:lang w:val="el-GR"/>
        </w:rPr>
        <w:t>[1]</w:t>
      </w:r>
      <w:r w:rsidRPr="001F6ECC">
        <w:rPr>
          <w:rFonts w:eastAsia="Times New Roman" w:cstheme="minorHAnsi"/>
          <w:color w:val="111111"/>
        </w:rPr>
        <w:fldChar w:fldCharType="end"/>
      </w:r>
      <w:bookmarkEnd w:id="1"/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b/>
          <w:bCs/>
          <w:i/>
          <w:iCs/>
          <w:color w:val="111111"/>
          <w:lang w:val="el-GR"/>
        </w:rPr>
        <w:t>ιδιοκτησία φοροτελής</w:t>
      </w:r>
      <w:r w:rsidRPr="001F6ECC">
        <w:rPr>
          <w:rFonts w:eastAsia="Times New Roman" w:cstheme="minorHAnsi"/>
          <w:color w:val="111111"/>
          <w:lang w:val="el-GR"/>
        </w:rPr>
        <w:t>: η ιδιοκτησία που υπόκειται σε φορολογία</w:t>
      </w:r>
    </w:p>
    <w:p w:rsid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</w:p>
    <w:p w:rsidR="001F6ECC" w:rsidRPr="001F6ECC" w:rsidRDefault="001F6ECC" w:rsidP="001F6ECC">
      <w:pPr>
        <w:pStyle w:val="a5"/>
        <w:rPr>
          <w:rFonts w:eastAsia="Times New Roman"/>
          <w:lang w:val="el-GR"/>
        </w:rPr>
      </w:pP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1F6ECC">
        <w:rPr>
          <w:rFonts w:eastAsia="Times New Roman" w:cstheme="minorHAnsi"/>
          <w:b/>
          <w:bCs/>
          <w:color w:val="993300"/>
          <w:lang w:val="el-GR"/>
        </w:rPr>
        <w:t>Ημερ</w:t>
      </w:r>
      <w:proofErr w:type="spellEnd"/>
      <w:r w:rsidRPr="001F6ECC">
        <w:rPr>
          <w:rFonts w:eastAsia="Times New Roman" w:cstheme="minorHAnsi"/>
          <w:b/>
          <w:bCs/>
          <w:color w:val="993300"/>
          <w:lang w:val="el-GR"/>
        </w:rPr>
        <w:t>. 2007</w:t>
      </w: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Αξιοποιώντας τις ιστορικές σας γνώσεις και αντλώντας στοιχεία από τα κείμενα που σας δίνονται παρακάτω, να αναφερθείτε στο περιεχόμενο του Συντάγματος του 1844 σχετικά με: α) τα θεμελιώδη δικαιώματα των πολιτών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(μον. 4)</w:t>
      </w:r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b/>
          <w:bCs/>
          <w:color w:val="111111"/>
          <w:lang w:val="el-GR"/>
        </w:rPr>
        <w:t>β) το δικαίωμα της ψηφοφορίας και την εκλογική διαδικασία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(μον. 9)</w:t>
      </w:r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b/>
          <w:bCs/>
          <w:color w:val="111111"/>
          <w:lang w:val="el-GR"/>
        </w:rPr>
        <w:t>γ) την κατανομή των εξουσιών</w:t>
      </w:r>
      <w:r w:rsidRPr="001F6ECC">
        <w:rPr>
          <w:rFonts w:eastAsia="Times New Roman" w:cstheme="minorHAnsi"/>
          <w:b/>
          <w:bCs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>(μον. 12). Μονάδες 25</w:t>
      </w: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ΚΕΙΜΕΝΟ Α:</w:t>
      </w:r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 xml:space="preserve">Ὁ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Ἐκλογικὸς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Νόμος καθιέρωνε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ἐκλογὴ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βουλευτῶν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πλειοψηφικὸ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σύστημα δύο γύρων,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ποὺ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θὰ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διεξαγόταν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μὲ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ἄμεση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σχεδὸν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καθολική,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μυστικὴ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ψηφοφορία. Δικαίωμα ψήφου δινόταν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στοὺς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πολίτες (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ἄρρενες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)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ἡλικίας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25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ἐτῶν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συμπληρωμένων, «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ἔχοντας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προσέτι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ἰδιοκτησίαν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τινὰ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ἐντὸς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ἐπαρχίας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ὅπου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ἔχουσι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τὴν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πολιτικὴν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διαμονήν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των, ἢ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ἐξασκοῦντας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αὐτῇ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ὁποιονδήποτε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ἐπάγγελμα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, ἢ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ἀνεξάρτητον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ἐπιτήδευμα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».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Ἐξαιροῦνταν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«α)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διατελοῦντες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ὑπὸ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ἀνάκρισιν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ἐπὶ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κακουργήματι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, β)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προσκαίρως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ἢ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διὰ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παντὸς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στερηθέντες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κατὰ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συνέπειαν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δικαστικῆς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ἀποφάσεως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τοῦ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δικαιώματος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τοῦ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ψηφοφορεῖν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, γ)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στερούμενοι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ἐλευθέρας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διαχειρίσεως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περιουσίας των».</w:t>
      </w:r>
    </w:p>
    <w:p w:rsidR="001F6ECC" w:rsidRP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Ν.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Διαμαντοῦρος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,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Ἱστορία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τοῦ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Ἑλληνικοῦ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Ἔθνους,τ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. ΙΓ΄: Νεώτερος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Ἑλληνισμὸς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ἀπὸ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1833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ὥς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 1881, Αθήνα: Εκδοτική Αθηνών, 2000, σ. 112.</w:t>
      </w:r>
    </w:p>
    <w:p w:rsidR="001F6ECC" w:rsidRPr="001F6ECC" w:rsidRDefault="001F6ECC" w:rsidP="001F6ECC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b/>
          <w:bCs/>
          <w:color w:val="111111"/>
          <w:lang w:val="el-GR"/>
        </w:rPr>
        <w:t>ΚΕΙΜΕΝΟ Β:</w:t>
      </w:r>
      <w:r w:rsidRPr="001F6ECC">
        <w:rPr>
          <w:rFonts w:eastAsia="Times New Roman" w:cstheme="minorHAnsi"/>
          <w:color w:val="111111"/>
        </w:rPr>
        <w:t> </w:t>
      </w:r>
      <w:r w:rsidRPr="001F6ECC">
        <w:rPr>
          <w:rFonts w:eastAsia="Times New Roman" w:cstheme="minorHAnsi"/>
          <w:color w:val="111111"/>
          <w:lang w:val="el-GR"/>
        </w:rPr>
        <w:t xml:space="preserve">Ο Βασιλιάς δεν ήταν μόνον ο ανώτατος άρχοντας, ο αρχηγός του κράτους αλλά και το ανώτατο και κυρίαρχο όργανο του κράτους, αποδεχόταν δηλαδή μόνον εκείνους τους περιορισμούς της εξουσίας του, που είχαν διατυπωθεί ρητώς στο Σύνταγμα. Η μοναρχική πηγή της εξουσίας προέκυπτε και από το ίδιο το συνταγματικό κείμενο, που αναγνώριζε το πρόσωπο του Βασιλιά ως ιερό </w:t>
      </w:r>
      <w:r w:rsidRPr="001F6ECC">
        <w:rPr>
          <w:rFonts w:eastAsia="Times New Roman" w:cstheme="minorHAnsi"/>
          <w:color w:val="111111"/>
          <w:lang w:val="el-GR"/>
        </w:rPr>
        <w:lastRenderedPageBreak/>
        <w:t xml:space="preserve">και απαραβίαστο αλλά και από την πρόβλεψη ότι η δικαιοσύνη πηγάζει από το Βασιλιά και απονέμεται εν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ονόματί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του. Η μοναρχία ήταν όμως περιορισμένη μέσα στα όρια που έθετε η ίδια με το παραχωρημένο Σύνταγμα. Το Σύνταγμα του 1844 εισήγαγε την αρχή της διάκρισης των εξουσιών. […] Η νομοθετική πρωτοβουλία και το δικαίωμα της κυρώσεως των νόμων ανήκε στο Βασιλιά. Με το διορισμό των μελών της Γερουσίας και της διάλυσης, χωρίς περιορισμό, της Βουλής, ο Βασιλιάς συγκέντρωνε εκτεταμένες αρμοδιότητες.</w:t>
      </w:r>
    </w:p>
    <w:p w:rsidR="001F6ECC" w:rsidRP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Η.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Μαυρομούστακου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>, Πολιτικοί Θεσμοί και Διοικητική Οργάνωση, στο: Ιστορία του Νέου Ελληνισμού, 1770-2000, 4ος τόμος: Το Ελληνικό Κράτος, 1833-1871, Η Εθνική Εστία και ο Ελληνισμός της Οθωμανικής Αυτοκρατορίας, Αθήνα: Ελληνικά Γράμματα, 2003, σ.43.</w:t>
      </w:r>
    </w:p>
    <w:p w:rsidR="001F6ECC" w:rsidRPr="001F6ECC" w:rsidRDefault="001F6ECC" w:rsidP="001F6ECC">
      <w:pPr>
        <w:shd w:val="clear" w:color="auto" w:fill="FFFFFF"/>
        <w:spacing w:before="83" w:after="0" w:line="240" w:lineRule="auto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1F6ECC">
        <w:rPr>
          <w:rFonts w:eastAsia="Times New Roman" w:cstheme="minorHAnsi"/>
          <w:b/>
          <w:bCs/>
          <w:color w:val="333333"/>
          <w:lang w:val="el-GR"/>
        </w:rPr>
        <w:t>ΚΕΙΜΕΝΟ Γ:</w:t>
      </w:r>
      <w:r w:rsidRPr="001F6ECC">
        <w:rPr>
          <w:rFonts w:eastAsia="Times New Roman" w:cstheme="minorHAnsi"/>
          <w:b/>
          <w:bCs/>
          <w:color w:val="333333"/>
        </w:rPr>
        <w:t> </w:t>
      </w:r>
      <w:r w:rsidRPr="001F6ECC">
        <w:rPr>
          <w:rFonts w:eastAsia="Times New Roman" w:cstheme="minorHAnsi"/>
          <w:b/>
          <w:bCs/>
          <w:color w:val="333333"/>
          <w:lang w:val="el-GR"/>
        </w:rPr>
        <w:t>Περί συντάξεως της Πολιτείας</w:t>
      </w:r>
    </w:p>
    <w:p w:rsidR="001F6ECC" w:rsidRPr="001F6ECC" w:rsidRDefault="001F6ECC" w:rsidP="001F6ECC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color w:val="111111"/>
          <w:lang w:val="el-GR"/>
        </w:rPr>
        <w:t>Άρθρον 15. Η νομοθετική εξουσία ενεργείται συνάμα υπό του Βασιλέως, της Βουλής και της Γερουσίας.</w:t>
      </w:r>
    </w:p>
    <w:p w:rsidR="001F6ECC" w:rsidRPr="001F6ECC" w:rsidRDefault="001F6ECC" w:rsidP="001F6ECC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color w:val="111111"/>
          <w:lang w:val="el-GR"/>
        </w:rPr>
        <w:t>Άρθρον 20. Η εκτελεστική εξουσία ανήκει εις τον Βασιλέα, ενεργείται δε διά των παρ’ αυτού διοριζομένων υπευθύνων Υπουργών.</w:t>
      </w:r>
    </w:p>
    <w:p w:rsidR="001F6ECC" w:rsidRPr="001F6ECC" w:rsidRDefault="001F6ECC" w:rsidP="001F6ECC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color w:val="111111"/>
          <w:lang w:val="el-GR"/>
        </w:rPr>
        <w:t xml:space="preserve">Άρθρον 21. Η δικαστική εξουσία ενεργείται διά των δικαστηρίων, αι δε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δικαστικαί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 xml:space="preserve"> αποφάσεις εκτελούνται εν ονόματι του Βασιλέως.</w:t>
      </w:r>
    </w:p>
    <w:p w:rsidR="001F6ECC" w:rsidRPr="001F6ECC" w:rsidRDefault="001F6ECC" w:rsidP="001F6ECC">
      <w:pPr>
        <w:shd w:val="clear" w:color="auto" w:fill="FFFFFF"/>
        <w:spacing w:before="83" w:after="0" w:line="240" w:lineRule="auto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1F6ECC">
        <w:rPr>
          <w:rFonts w:eastAsia="Times New Roman" w:cstheme="minorHAnsi"/>
          <w:b/>
          <w:bCs/>
          <w:color w:val="333333"/>
          <w:lang w:val="el-GR"/>
        </w:rPr>
        <w:t>Περί της Βουλής</w:t>
      </w:r>
    </w:p>
    <w:p w:rsidR="001F6ECC" w:rsidRPr="001F6ECC" w:rsidRDefault="001F6ECC" w:rsidP="001F6ECC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1F6ECC">
        <w:rPr>
          <w:rFonts w:eastAsia="Times New Roman" w:cstheme="minorHAnsi"/>
          <w:color w:val="111111"/>
          <w:lang w:val="el-GR"/>
        </w:rPr>
        <w:t xml:space="preserve">Άρθρον 59. Η Βουλή σύγκειται εκ Βουλευτών, εκλεγομένων των εχόντων δικαίωμα προς τούτο πολιτών, κατά τον περί εκλογής </w:t>
      </w:r>
      <w:proofErr w:type="spellStart"/>
      <w:r w:rsidRPr="001F6ECC">
        <w:rPr>
          <w:rFonts w:eastAsia="Times New Roman" w:cstheme="minorHAnsi"/>
          <w:color w:val="111111"/>
          <w:lang w:val="el-GR"/>
        </w:rPr>
        <w:t>Νόμον</w:t>
      </w:r>
      <w:proofErr w:type="spellEnd"/>
      <w:r w:rsidRPr="001F6ECC">
        <w:rPr>
          <w:rFonts w:eastAsia="Times New Roman" w:cstheme="minorHAnsi"/>
          <w:color w:val="111111"/>
          <w:lang w:val="el-GR"/>
        </w:rPr>
        <w:t>.</w:t>
      </w:r>
    </w:p>
    <w:p w:rsidR="001F6ECC" w:rsidRPr="001F6ECC" w:rsidRDefault="001F6ECC" w:rsidP="001F6ECC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</w:rPr>
      </w:pPr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Α. Σβώλος, Τα Ελληνικά Συντάγματα, </w:t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σσ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>. 153, 155, 161 (Στο: Αξιολόγηση των μαθητών στο μάθημα: «Θέματα Νεοελληνικής Ιστορίας»,</w:t>
      </w:r>
      <w:r w:rsidRPr="001F6ECC">
        <w:rPr>
          <w:rFonts w:eastAsia="Times New Roman" w:cstheme="minorHAnsi"/>
          <w:i/>
          <w:iCs/>
          <w:color w:val="111111"/>
          <w:lang w:val="el-GR"/>
        </w:rPr>
        <w:br/>
      </w:r>
      <w:proofErr w:type="spellStart"/>
      <w:r w:rsidRPr="001F6ECC">
        <w:rPr>
          <w:rFonts w:eastAsia="Times New Roman" w:cstheme="minorHAnsi"/>
          <w:i/>
          <w:iCs/>
          <w:color w:val="111111"/>
          <w:lang w:val="el-GR"/>
        </w:rPr>
        <w:t>τεύχ</w:t>
      </w:r>
      <w:proofErr w:type="spellEnd"/>
      <w:r w:rsidRPr="001F6ECC">
        <w:rPr>
          <w:rFonts w:eastAsia="Times New Roman" w:cstheme="minorHAnsi"/>
          <w:i/>
          <w:iCs/>
          <w:color w:val="111111"/>
          <w:lang w:val="el-GR"/>
        </w:rPr>
        <w:t xml:space="preserve">. </w:t>
      </w:r>
      <w:r w:rsidRPr="001F6ECC">
        <w:rPr>
          <w:rFonts w:eastAsia="Times New Roman" w:cstheme="minorHAnsi"/>
          <w:i/>
          <w:iCs/>
          <w:color w:val="111111"/>
        </w:rPr>
        <w:t xml:space="preserve">1ο, </w:t>
      </w:r>
      <w:proofErr w:type="spellStart"/>
      <w:r w:rsidRPr="001F6ECC">
        <w:rPr>
          <w:rFonts w:eastAsia="Times New Roman" w:cstheme="minorHAnsi"/>
          <w:i/>
          <w:iCs/>
          <w:color w:val="111111"/>
        </w:rPr>
        <w:t>Αθήνα</w:t>
      </w:r>
      <w:proofErr w:type="gramStart"/>
      <w:r w:rsidRPr="001F6ECC">
        <w:rPr>
          <w:rFonts w:eastAsia="Times New Roman" w:cstheme="minorHAnsi"/>
          <w:i/>
          <w:iCs/>
          <w:color w:val="111111"/>
        </w:rPr>
        <w:t>:ΥΠ.Ε.Π.Θ</w:t>
      </w:r>
      <w:proofErr w:type="spellEnd"/>
      <w:proofErr w:type="gramEnd"/>
      <w:r w:rsidRPr="001F6ECC">
        <w:rPr>
          <w:rFonts w:eastAsia="Times New Roman" w:cstheme="minorHAnsi"/>
          <w:i/>
          <w:iCs/>
          <w:color w:val="111111"/>
        </w:rPr>
        <w:t>.–Κ.Ε.Ε., 1999, σ. 197).</w:t>
      </w:r>
    </w:p>
    <w:p w:rsidR="000A38A1" w:rsidRPr="001F6ECC" w:rsidRDefault="000A38A1">
      <w:pPr>
        <w:rPr>
          <w:rFonts w:cstheme="minorHAnsi"/>
        </w:rPr>
      </w:pPr>
    </w:p>
    <w:sectPr w:rsidR="000A38A1" w:rsidRPr="001F6ECC" w:rsidSect="000A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F6ECC"/>
    <w:rsid w:val="000A38A1"/>
    <w:rsid w:val="001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A1"/>
  </w:style>
  <w:style w:type="paragraph" w:styleId="4">
    <w:name w:val="heading 4"/>
    <w:basedOn w:val="a"/>
    <w:link w:val="4Char"/>
    <w:uiPriority w:val="9"/>
    <w:qFormat/>
    <w:rsid w:val="001F6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F6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F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6ECC"/>
    <w:rPr>
      <w:b/>
      <w:bCs/>
    </w:rPr>
  </w:style>
  <w:style w:type="character" w:styleId="-">
    <w:name w:val="Hyperlink"/>
    <w:basedOn w:val="a0"/>
    <w:uiPriority w:val="99"/>
    <w:semiHidden/>
    <w:unhideWhenUsed/>
    <w:rsid w:val="001F6ECC"/>
    <w:rPr>
      <w:color w:val="0000FF"/>
      <w:u w:val="single"/>
    </w:rPr>
  </w:style>
  <w:style w:type="character" w:styleId="a4">
    <w:name w:val="Emphasis"/>
    <w:basedOn w:val="a0"/>
    <w:uiPriority w:val="20"/>
    <w:qFormat/>
    <w:rsid w:val="001F6ECC"/>
    <w:rPr>
      <w:i/>
      <w:iCs/>
    </w:rPr>
  </w:style>
  <w:style w:type="paragraph" w:styleId="a5">
    <w:name w:val="Title"/>
    <w:basedOn w:val="a"/>
    <w:next w:val="a"/>
    <w:link w:val="Char"/>
    <w:uiPriority w:val="10"/>
    <w:qFormat/>
    <w:rsid w:val="001F6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1F6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</dc:creator>
  <cp:keywords/>
  <dc:description/>
  <cp:lastModifiedBy>Theodora</cp:lastModifiedBy>
  <cp:revision>2</cp:revision>
  <dcterms:created xsi:type="dcterms:W3CDTF">2021-11-24T17:43:00Z</dcterms:created>
  <dcterms:modified xsi:type="dcterms:W3CDTF">2021-11-24T17:48:00Z</dcterms:modified>
</cp:coreProperties>
</file>