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1F" w:rsidRDefault="0076131F" w:rsidP="0076131F">
      <w:pPr>
        <w:pStyle w:val="western"/>
        <w:shd w:val="clear" w:color="auto" w:fill="FFFFFF" w:themeFill="background1"/>
        <w:spacing w:before="250" w:beforeAutospacing="0" w:after="250" w:afterAutospacing="0"/>
        <w:rPr>
          <w:rFonts w:ascii="Helvetica" w:hAnsi="Helvetica" w:cs="Helvetica"/>
          <w:color w:val="524F4F"/>
          <w:sz w:val="18"/>
          <w:szCs w:val="18"/>
        </w:rPr>
      </w:pPr>
      <w:r>
        <w:rPr>
          <w:b/>
          <w:bCs/>
          <w:color w:val="524F4F"/>
          <w:sz w:val="27"/>
          <w:szCs w:val="27"/>
          <w:u w:val="single"/>
        </w:rPr>
        <w:t>Ζητούμενο 1: Η ελληνική γλώσσα σε κρίση;</w:t>
      </w:r>
    </w:p>
    <w:p w:rsidR="0076131F" w:rsidRDefault="0076131F" w:rsidP="0076131F">
      <w:pPr>
        <w:pStyle w:val="western"/>
        <w:shd w:val="clear" w:color="auto" w:fill="FFFFFF" w:themeFill="background1"/>
        <w:spacing w:before="250" w:beforeAutospacing="0" w:after="250" w:afterAutospacing="0"/>
        <w:rPr>
          <w:rFonts w:ascii="Helvetica" w:hAnsi="Helvetica" w:cs="Helvetica"/>
          <w:color w:val="524F4F"/>
          <w:sz w:val="18"/>
          <w:szCs w:val="18"/>
        </w:rPr>
      </w:pPr>
      <w:r>
        <w:rPr>
          <w:rFonts w:ascii="Helvetica" w:hAnsi="Helvetica" w:cs="Helvetica"/>
          <w:color w:val="524F4F"/>
          <w:sz w:val="18"/>
          <w:szCs w:val="18"/>
        </w:rPr>
        <w:t> </w:t>
      </w:r>
    </w:p>
    <w:p w:rsidR="0076131F" w:rsidRDefault="0076131F" w:rsidP="0076131F">
      <w:pPr>
        <w:pStyle w:val="western"/>
        <w:shd w:val="clear" w:color="auto" w:fill="FFFFFF" w:themeFill="background1"/>
        <w:spacing w:before="250" w:beforeAutospacing="0" w:after="250" w:afterAutospacing="0"/>
        <w:rPr>
          <w:rFonts w:ascii="Helvetica" w:hAnsi="Helvetica" w:cs="Helvetica"/>
          <w:color w:val="524F4F"/>
          <w:sz w:val="18"/>
          <w:szCs w:val="18"/>
        </w:rPr>
      </w:pPr>
      <w:r>
        <w:rPr>
          <w:b/>
          <w:bCs/>
          <w:color w:val="524F4F"/>
          <w:sz w:val="27"/>
          <w:szCs w:val="27"/>
          <w:u w:val="single"/>
        </w:rPr>
        <w:t>Παράγραφος 1: Οικονομικά και πολιτικά αίτια</w:t>
      </w:r>
    </w:p>
    <w:p w:rsidR="0076131F" w:rsidRDefault="0076131F" w:rsidP="0076131F">
      <w:pPr>
        <w:pStyle w:val="Web"/>
        <w:numPr>
          <w:ilvl w:val="0"/>
          <w:numId w:val="1"/>
        </w:numPr>
        <w:shd w:val="clear" w:color="auto" w:fill="FFFFFF" w:themeFill="background1"/>
        <w:spacing w:before="0" w:beforeAutospacing="0" w:after="250" w:afterAutospacing="0"/>
        <w:ind w:left="0"/>
        <w:rPr>
          <w:rFonts w:ascii="Helvetica" w:hAnsi="Helvetica" w:cs="Helvetica"/>
          <w:color w:val="524F4F"/>
          <w:sz w:val="18"/>
          <w:szCs w:val="18"/>
        </w:rPr>
      </w:pPr>
      <w:r>
        <w:rPr>
          <w:b/>
          <w:bCs/>
          <w:color w:val="524F4F"/>
          <w:sz w:val="27"/>
          <w:szCs w:val="27"/>
        </w:rPr>
        <w:t>Γλώσσες των οικονομικά και βιομηχανικά ισχυρών κρατών επικρατούν </w:t>
      </w:r>
      <w:r>
        <w:rPr>
          <w:color w:val="524F4F"/>
          <w:sz w:val="27"/>
          <w:szCs w:val="27"/>
        </w:rPr>
        <w:t xml:space="preserve">- ελέγχουν το εμπόριο και την οικονομία - </w:t>
      </w:r>
      <w:proofErr w:type="spellStart"/>
      <w:r>
        <w:rPr>
          <w:color w:val="524F4F"/>
          <w:sz w:val="27"/>
          <w:szCs w:val="27"/>
        </w:rPr>
        <w:t>παγκοσμιοποιημένη</w:t>
      </w:r>
      <w:proofErr w:type="spellEnd"/>
      <w:r>
        <w:rPr>
          <w:color w:val="524F4F"/>
          <w:sz w:val="27"/>
          <w:szCs w:val="27"/>
        </w:rPr>
        <w:t xml:space="preserve"> αγορά εργασίας</w:t>
      </w:r>
    </w:p>
    <w:p w:rsidR="0076131F" w:rsidRDefault="0076131F" w:rsidP="0076131F">
      <w:pPr>
        <w:pStyle w:val="Web"/>
        <w:numPr>
          <w:ilvl w:val="0"/>
          <w:numId w:val="1"/>
        </w:numPr>
        <w:shd w:val="clear" w:color="auto" w:fill="FFFFFF" w:themeFill="background1"/>
        <w:spacing w:before="0" w:beforeAutospacing="0" w:after="250" w:afterAutospacing="0"/>
        <w:ind w:left="0"/>
        <w:rPr>
          <w:rFonts w:ascii="Helvetica" w:hAnsi="Helvetica" w:cs="Helvetica"/>
          <w:color w:val="524F4F"/>
          <w:sz w:val="18"/>
          <w:szCs w:val="18"/>
        </w:rPr>
      </w:pPr>
      <w:r>
        <w:rPr>
          <w:b/>
          <w:bCs/>
          <w:color w:val="524F4F"/>
          <w:sz w:val="27"/>
          <w:szCs w:val="27"/>
        </w:rPr>
        <w:t>Γλώσσες των πολιτικά ισχυρών κρατών που κυριαρχούν στο διπλωματικό προσκήνιο</w:t>
      </w:r>
    </w:p>
    <w:p w:rsidR="0076131F" w:rsidRDefault="0076131F" w:rsidP="0076131F">
      <w:pPr>
        <w:pStyle w:val="western"/>
        <w:shd w:val="clear" w:color="auto" w:fill="FFFFFF" w:themeFill="background1"/>
        <w:spacing w:before="250" w:beforeAutospacing="0" w:after="250" w:afterAutospacing="0"/>
        <w:rPr>
          <w:rFonts w:ascii="Helvetica" w:hAnsi="Helvetica" w:cs="Helvetica"/>
          <w:color w:val="524F4F"/>
          <w:sz w:val="18"/>
          <w:szCs w:val="18"/>
        </w:rPr>
      </w:pPr>
      <w:r>
        <w:rPr>
          <w:rFonts w:ascii="Helvetica" w:hAnsi="Helvetica" w:cs="Helvetica"/>
          <w:color w:val="524F4F"/>
          <w:sz w:val="18"/>
          <w:szCs w:val="18"/>
        </w:rPr>
        <w:t> </w:t>
      </w:r>
    </w:p>
    <w:p w:rsidR="0076131F" w:rsidRDefault="0076131F" w:rsidP="0076131F">
      <w:pPr>
        <w:pStyle w:val="western"/>
        <w:shd w:val="clear" w:color="auto" w:fill="FFFFFF" w:themeFill="background1"/>
        <w:spacing w:before="250" w:beforeAutospacing="0" w:after="250" w:afterAutospacing="0"/>
        <w:rPr>
          <w:rFonts w:ascii="Helvetica" w:hAnsi="Helvetica" w:cs="Helvetica"/>
          <w:color w:val="524F4F"/>
          <w:sz w:val="18"/>
          <w:szCs w:val="18"/>
        </w:rPr>
      </w:pPr>
      <w:r>
        <w:rPr>
          <w:b/>
          <w:bCs/>
          <w:color w:val="524F4F"/>
          <w:sz w:val="27"/>
          <w:szCs w:val="27"/>
          <w:u w:val="single"/>
        </w:rPr>
        <w:t>Παράγραφος 2: Κοινωνικά και πολιτιστικά αίτια</w:t>
      </w:r>
    </w:p>
    <w:p w:rsidR="0076131F" w:rsidRDefault="0076131F" w:rsidP="0076131F">
      <w:pPr>
        <w:pStyle w:val="Web"/>
        <w:numPr>
          <w:ilvl w:val="0"/>
          <w:numId w:val="2"/>
        </w:numPr>
        <w:shd w:val="clear" w:color="auto" w:fill="FFFFFF" w:themeFill="background1"/>
        <w:spacing w:before="0" w:beforeAutospacing="0" w:after="250" w:afterAutospacing="0"/>
        <w:ind w:left="0"/>
        <w:rPr>
          <w:rFonts w:ascii="Helvetica" w:hAnsi="Helvetica" w:cs="Helvetica"/>
          <w:color w:val="524F4F"/>
          <w:sz w:val="18"/>
          <w:szCs w:val="18"/>
        </w:rPr>
      </w:pPr>
      <w:r>
        <w:rPr>
          <w:color w:val="524F4F"/>
          <w:sz w:val="27"/>
          <w:szCs w:val="27"/>
        </w:rPr>
        <w:t xml:space="preserve">Λανθασμένη αντίληψη σχετικά με την παγκοσμιοποίηση - Η </w:t>
      </w:r>
      <w:proofErr w:type="spellStart"/>
      <w:r>
        <w:rPr>
          <w:color w:val="524F4F"/>
          <w:sz w:val="27"/>
          <w:szCs w:val="27"/>
        </w:rPr>
        <w:t>παγκοσμιοποιημένη</w:t>
      </w:r>
      <w:proofErr w:type="spellEnd"/>
      <w:r>
        <w:rPr>
          <w:color w:val="524F4F"/>
          <w:sz w:val="27"/>
          <w:szCs w:val="27"/>
        </w:rPr>
        <w:t xml:space="preserve"> αγορά προσπαθεί να επιβληθεί και στον πολιτισμό </w:t>
      </w:r>
      <w:r>
        <w:rPr>
          <w:b/>
          <w:bCs/>
          <w:color w:val="524F4F"/>
          <w:sz w:val="27"/>
          <w:szCs w:val="27"/>
        </w:rPr>
        <w:t xml:space="preserve">- κάθε χώρα, επομένως και η Ελλάδα, δυσκολεύεται να διατηρήσει τη μοναδικότητά της, την πολιτιστική της ταυτότητα και βάλλεται από τον κίνδυνο </w:t>
      </w:r>
      <w:proofErr w:type="spellStart"/>
      <w:r>
        <w:rPr>
          <w:b/>
          <w:bCs/>
          <w:color w:val="524F4F"/>
          <w:sz w:val="27"/>
          <w:szCs w:val="27"/>
        </w:rPr>
        <w:t>ομοιογενοποίησης</w:t>
      </w:r>
      <w:proofErr w:type="spellEnd"/>
      <w:r>
        <w:rPr>
          <w:b/>
          <w:bCs/>
          <w:color w:val="524F4F"/>
          <w:sz w:val="27"/>
          <w:szCs w:val="27"/>
        </w:rPr>
        <w:t>.</w:t>
      </w:r>
    </w:p>
    <w:p w:rsidR="0076131F" w:rsidRDefault="0076131F" w:rsidP="0076131F">
      <w:pPr>
        <w:pStyle w:val="Web"/>
        <w:numPr>
          <w:ilvl w:val="0"/>
          <w:numId w:val="2"/>
        </w:numPr>
        <w:shd w:val="clear" w:color="auto" w:fill="FFFFFF" w:themeFill="background1"/>
        <w:spacing w:before="0" w:beforeAutospacing="0" w:after="250" w:afterAutospacing="0"/>
        <w:ind w:left="0"/>
        <w:rPr>
          <w:rFonts w:ascii="Helvetica" w:hAnsi="Helvetica" w:cs="Helvetica"/>
          <w:color w:val="524F4F"/>
          <w:sz w:val="18"/>
          <w:szCs w:val="18"/>
        </w:rPr>
      </w:pPr>
      <w:r>
        <w:rPr>
          <w:b/>
          <w:bCs/>
          <w:color w:val="524F4F"/>
          <w:sz w:val="27"/>
          <w:szCs w:val="27"/>
        </w:rPr>
        <w:t>Κίνδυνος και απειλή για τη γλώσσα - αποτελεί στοιχείο της πολιτιστικής μας ταυτότητας</w:t>
      </w:r>
    </w:p>
    <w:p w:rsidR="0076131F" w:rsidRDefault="0076131F" w:rsidP="0076131F">
      <w:pPr>
        <w:pStyle w:val="Web"/>
        <w:numPr>
          <w:ilvl w:val="0"/>
          <w:numId w:val="2"/>
        </w:numPr>
        <w:shd w:val="clear" w:color="auto" w:fill="FFFFFF" w:themeFill="background1"/>
        <w:spacing w:before="0" w:beforeAutospacing="0" w:after="250" w:afterAutospacing="0"/>
        <w:ind w:left="0"/>
        <w:rPr>
          <w:rFonts w:ascii="Helvetica" w:hAnsi="Helvetica" w:cs="Helvetica"/>
          <w:color w:val="524F4F"/>
          <w:sz w:val="18"/>
          <w:szCs w:val="18"/>
        </w:rPr>
      </w:pPr>
      <w:r>
        <w:rPr>
          <w:b/>
          <w:bCs/>
          <w:color w:val="524F4F"/>
          <w:sz w:val="27"/>
          <w:szCs w:val="27"/>
        </w:rPr>
        <w:t xml:space="preserve">Βιομηχανία της μαζικής κουλτούρας - προσπάθεια επιβολής από τις οικονομικά ισχυρές χώρες συγκεκριμένων προϊόντων πολιτισμού, ψυχαγωγίας και διασκέδασης - </w:t>
      </w:r>
      <w:proofErr w:type="spellStart"/>
      <w:r>
        <w:rPr>
          <w:b/>
          <w:bCs/>
          <w:color w:val="524F4F"/>
          <w:sz w:val="27"/>
          <w:szCs w:val="27"/>
        </w:rPr>
        <w:t>μαζοποίηση</w:t>
      </w:r>
      <w:proofErr w:type="spellEnd"/>
      <w:r>
        <w:rPr>
          <w:b/>
          <w:bCs/>
          <w:color w:val="524F4F"/>
          <w:sz w:val="27"/>
          <w:szCs w:val="27"/>
        </w:rPr>
        <w:t xml:space="preserve"> -</w:t>
      </w:r>
      <w:r>
        <w:rPr>
          <w:color w:val="524F4F"/>
          <w:sz w:val="27"/>
          <w:szCs w:val="27"/>
        </w:rPr>
        <w:t> έλλειψη ελευθερίας καλλιέργειας της γλώσσας, αλλά ακόμη και σε σκλαβιά της σκέψης.</w:t>
      </w:r>
    </w:p>
    <w:p w:rsidR="0076131F" w:rsidRDefault="0076131F" w:rsidP="0076131F">
      <w:pPr>
        <w:pStyle w:val="Web"/>
        <w:numPr>
          <w:ilvl w:val="0"/>
          <w:numId w:val="3"/>
        </w:numPr>
        <w:shd w:val="clear" w:color="auto" w:fill="FFFFFF" w:themeFill="background1"/>
        <w:spacing w:before="0" w:beforeAutospacing="0" w:after="250" w:afterAutospacing="0"/>
        <w:ind w:left="0"/>
        <w:rPr>
          <w:rFonts w:ascii="Helvetica" w:hAnsi="Helvetica" w:cs="Helvetica"/>
          <w:color w:val="524F4F"/>
          <w:sz w:val="18"/>
          <w:szCs w:val="18"/>
        </w:rPr>
      </w:pPr>
      <w:r>
        <w:rPr>
          <w:color w:val="524F4F"/>
          <w:sz w:val="27"/>
          <w:szCs w:val="27"/>
        </w:rPr>
        <w:t>Έλλειψη αντιστάσεων και κριτικής ικανότητας από εμάς τους ίδιους.</w:t>
      </w:r>
    </w:p>
    <w:p w:rsidR="0076131F" w:rsidRDefault="0076131F" w:rsidP="0076131F">
      <w:pPr>
        <w:pStyle w:val="western"/>
        <w:shd w:val="clear" w:color="auto" w:fill="FFFFFF" w:themeFill="background1"/>
        <w:spacing w:before="250" w:beforeAutospacing="0" w:after="250" w:afterAutospacing="0"/>
        <w:rPr>
          <w:rFonts w:ascii="Helvetica" w:hAnsi="Helvetica" w:cs="Helvetica"/>
          <w:color w:val="524F4F"/>
          <w:sz w:val="18"/>
          <w:szCs w:val="18"/>
        </w:rPr>
      </w:pPr>
      <w:r>
        <w:rPr>
          <w:rFonts w:ascii="Helvetica" w:hAnsi="Helvetica" w:cs="Helvetica"/>
          <w:color w:val="524F4F"/>
          <w:sz w:val="18"/>
          <w:szCs w:val="18"/>
        </w:rPr>
        <w:t> </w:t>
      </w:r>
    </w:p>
    <w:p w:rsidR="0076131F" w:rsidRDefault="0076131F" w:rsidP="0076131F">
      <w:pPr>
        <w:pStyle w:val="western"/>
        <w:shd w:val="clear" w:color="auto" w:fill="FFFFFF" w:themeFill="background1"/>
        <w:spacing w:before="250" w:beforeAutospacing="0" w:after="250" w:afterAutospacing="0"/>
        <w:rPr>
          <w:rFonts w:ascii="Helvetica" w:hAnsi="Helvetica" w:cs="Helvetica"/>
          <w:color w:val="524F4F"/>
          <w:sz w:val="18"/>
          <w:szCs w:val="18"/>
        </w:rPr>
      </w:pPr>
      <w:r>
        <w:rPr>
          <w:b/>
          <w:bCs/>
          <w:color w:val="524F4F"/>
          <w:sz w:val="27"/>
          <w:szCs w:val="27"/>
          <w:u w:val="single"/>
        </w:rPr>
        <w:t>Ζητούμενο 2: Τρόποι αντιμετώπισης της γλωσσικής υποβάθμισης</w:t>
      </w:r>
    </w:p>
    <w:p w:rsidR="0076131F" w:rsidRDefault="0076131F" w:rsidP="0076131F">
      <w:pPr>
        <w:pStyle w:val="western"/>
        <w:shd w:val="clear" w:color="auto" w:fill="FFFFFF" w:themeFill="background1"/>
        <w:spacing w:before="250" w:beforeAutospacing="0" w:after="250" w:afterAutospacing="0"/>
        <w:rPr>
          <w:rFonts w:ascii="Helvetica" w:hAnsi="Helvetica" w:cs="Helvetica"/>
          <w:color w:val="524F4F"/>
          <w:sz w:val="18"/>
          <w:szCs w:val="18"/>
        </w:rPr>
      </w:pPr>
      <w:r>
        <w:rPr>
          <w:rFonts w:ascii="Helvetica" w:hAnsi="Helvetica" w:cs="Helvetica"/>
          <w:color w:val="524F4F"/>
          <w:sz w:val="18"/>
          <w:szCs w:val="18"/>
        </w:rPr>
        <w:t> </w:t>
      </w:r>
    </w:p>
    <w:p w:rsidR="0076131F" w:rsidRDefault="0076131F" w:rsidP="0076131F">
      <w:pPr>
        <w:pStyle w:val="western"/>
        <w:shd w:val="clear" w:color="auto" w:fill="FFFFFF" w:themeFill="background1"/>
        <w:spacing w:before="250" w:beforeAutospacing="0" w:after="250" w:afterAutospacing="0"/>
        <w:rPr>
          <w:rFonts w:ascii="Helvetica" w:hAnsi="Helvetica" w:cs="Helvetica"/>
          <w:color w:val="524F4F"/>
          <w:sz w:val="18"/>
          <w:szCs w:val="18"/>
        </w:rPr>
      </w:pPr>
      <w:r>
        <w:rPr>
          <w:b/>
          <w:bCs/>
          <w:color w:val="524F4F"/>
          <w:sz w:val="27"/>
          <w:szCs w:val="27"/>
          <w:u w:val="single"/>
        </w:rPr>
        <w:t>Παράγραφος 1: Συλλογική μέριμνα</w:t>
      </w:r>
    </w:p>
    <w:p w:rsidR="0076131F" w:rsidRDefault="0076131F" w:rsidP="0076131F">
      <w:pPr>
        <w:pStyle w:val="Web"/>
        <w:numPr>
          <w:ilvl w:val="0"/>
          <w:numId w:val="4"/>
        </w:numPr>
        <w:shd w:val="clear" w:color="auto" w:fill="FFFFFF" w:themeFill="background1"/>
        <w:spacing w:before="0" w:beforeAutospacing="0" w:after="250" w:afterAutospacing="0"/>
        <w:ind w:left="0"/>
        <w:rPr>
          <w:rFonts w:ascii="Helvetica" w:hAnsi="Helvetica" w:cs="Helvetica"/>
          <w:color w:val="524F4F"/>
          <w:sz w:val="18"/>
          <w:szCs w:val="18"/>
        </w:rPr>
      </w:pPr>
      <w:r>
        <w:rPr>
          <w:b/>
          <w:bCs/>
          <w:color w:val="524F4F"/>
          <w:sz w:val="27"/>
          <w:szCs w:val="27"/>
        </w:rPr>
        <w:t>Όλοι φορείς κοινωνικοποίησης και παιδείας - εκπαίδευση-σχολείο/ πολιτεία/ φορείς πνευματικής ζωής/ ΜΜΕ και διαδίκτυο</w:t>
      </w:r>
    </w:p>
    <w:p w:rsidR="0076131F" w:rsidRDefault="0076131F" w:rsidP="0076131F">
      <w:pPr>
        <w:pStyle w:val="Web"/>
        <w:numPr>
          <w:ilvl w:val="0"/>
          <w:numId w:val="4"/>
        </w:numPr>
        <w:shd w:val="clear" w:color="auto" w:fill="FFFFFF" w:themeFill="background1"/>
        <w:spacing w:before="0" w:beforeAutospacing="0" w:after="250" w:afterAutospacing="0"/>
        <w:ind w:left="0"/>
        <w:rPr>
          <w:rFonts w:ascii="Helvetica" w:hAnsi="Helvetica" w:cs="Helvetica"/>
          <w:color w:val="524F4F"/>
          <w:sz w:val="18"/>
          <w:szCs w:val="18"/>
        </w:rPr>
      </w:pPr>
      <w:r>
        <w:rPr>
          <w:color w:val="524F4F"/>
          <w:sz w:val="27"/>
          <w:szCs w:val="27"/>
        </w:rPr>
        <w:t>Ανάγκη αντίληψης του προβλήματος και σχετική ενημέρωση - </w:t>
      </w:r>
      <w:r>
        <w:rPr>
          <w:b/>
          <w:bCs/>
          <w:color w:val="524F4F"/>
          <w:sz w:val="27"/>
          <w:szCs w:val="27"/>
        </w:rPr>
        <w:t>σχετικές διαφημιστικές καμπάνιες</w:t>
      </w:r>
    </w:p>
    <w:p w:rsidR="0076131F" w:rsidRDefault="0076131F" w:rsidP="0076131F">
      <w:pPr>
        <w:pStyle w:val="Web"/>
        <w:numPr>
          <w:ilvl w:val="0"/>
          <w:numId w:val="4"/>
        </w:numPr>
        <w:shd w:val="clear" w:color="auto" w:fill="FFFFFF" w:themeFill="background1"/>
        <w:spacing w:before="0" w:beforeAutospacing="0" w:after="250" w:afterAutospacing="0"/>
        <w:ind w:left="0"/>
        <w:rPr>
          <w:rFonts w:ascii="Helvetica" w:hAnsi="Helvetica" w:cs="Helvetica"/>
          <w:color w:val="524F4F"/>
          <w:sz w:val="18"/>
          <w:szCs w:val="18"/>
        </w:rPr>
      </w:pPr>
      <w:r>
        <w:rPr>
          <w:color w:val="524F4F"/>
          <w:sz w:val="27"/>
          <w:szCs w:val="27"/>
        </w:rPr>
        <w:lastRenderedPageBreak/>
        <w:t>Ένωση όλων των φορέων εκπαίδευσης -</w:t>
      </w:r>
      <w:r>
        <w:rPr>
          <w:b/>
          <w:bCs/>
          <w:color w:val="524F4F"/>
          <w:sz w:val="27"/>
          <w:szCs w:val="27"/>
        </w:rPr>
        <w:t> παροχή της κατάλληλης γλωσσικής εκπαίδευσης που να αρμόζει στις νοητικές τους δυνατότητες και να συντελεί στη διεύρυνση των γλωσσικών τους γνώσεων και ικανοτήτων και επικοινωνιακών δεξιοτήτων.</w:t>
      </w:r>
    </w:p>
    <w:p w:rsidR="0076131F" w:rsidRDefault="0076131F" w:rsidP="0076131F">
      <w:pPr>
        <w:pStyle w:val="Web"/>
        <w:numPr>
          <w:ilvl w:val="0"/>
          <w:numId w:val="4"/>
        </w:numPr>
        <w:shd w:val="clear" w:color="auto" w:fill="FFFFFF" w:themeFill="background1"/>
        <w:spacing w:before="0" w:beforeAutospacing="0" w:after="250" w:afterAutospacing="0"/>
        <w:ind w:left="0"/>
        <w:rPr>
          <w:rFonts w:ascii="Helvetica" w:hAnsi="Helvetica" w:cs="Helvetica"/>
          <w:color w:val="524F4F"/>
          <w:sz w:val="18"/>
          <w:szCs w:val="18"/>
        </w:rPr>
      </w:pPr>
      <w:r>
        <w:rPr>
          <w:b/>
          <w:bCs/>
          <w:color w:val="524F4F"/>
          <w:sz w:val="27"/>
          <w:szCs w:val="27"/>
        </w:rPr>
        <w:t xml:space="preserve">Δράσεις για την καλλιέργεια της </w:t>
      </w:r>
      <w:proofErr w:type="spellStart"/>
      <w:r>
        <w:rPr>
          <w:b/>
          <w:bCs/>
          <w:color w:val="524F4F"/>
          <w:sz w:val="27"/>
          <w:szCs w:val="27"/>
        </w:rPr>
        <w:t>φιλαναγνωσίας</w:t>
      </w:r>
      <w:proofErr w:type="spellEnd"/>
      <w:r>
        <w:rPr>
          <w:color w:val="524F4F"/>
          <w:sz w:val="27"/>
          <w:szCs w:val="27"/>
        </w:rPr>
        <w:t> - μέσα από τη λογοτεχνία επιτυγχάνεται τόσο η γλωσσική καλλιέργεια όσο και η ψυχαγωγία</w:t>
      </w:r>
    </w:p>
    <w:p w:rsidR="0076131F" w:rsidRDefault="0076131F" w:rsidP="0076131F">
      <w:pPr>
        <w:pStyle w:val="Web"/>
        <w:numPr>
          <w:ilvl w:val="0"/>
          <w:numId w:val="4"/>
        </w:numPr>
        <w:shd w:val="clear" w:color="auto" w:fill="FFFFFF" w:themeFill="background1"/>
        <w:spacing w:before="0" w:beforeAutospacing="0" w:after="250" w:afterAutospacing="0"/>
        <w:ind w:left="0"/>
        <w:rPr>
          <w:rFonts w:ascii="Helvetica" w:hAnsi="Helvetica" w:cs="Helvetica"/>
          <w:color w:val="524F4F"/>
          <w:sz w:val="18"/>
          <w:szCs w:val="18"/>
        </w:rPr>
      </w:pPr>
      <w:r>
        <w:rPr>
          <w:b/>
          <w:bCs/>
          <w:color w:val="524F4F"/>
          <w:sz w:val="27"/>
          <w:szCs w:val="27"/>
        </w:rPr>
        <w:t>Ελκυστικό υλικό και προσιτοί τρόποι διδασκαλίας των γλωσσικών μαθημάτων - δημιουργική αξιοποίηση των νέων τεχνολογιών</w:t>
      </w:r>
    </w:p>
    <w:p w:rsidR="0076131F" w:rsidRDefault="0076131F" w:rsidP="0076131F">
      <w:pPr>
        <w:pStyle w:val="Web"/>
        <w:numPr>
          <w:ilvl w:val="0"/>
          <w:numId w:val="4"/>
        </w:numPr>
        <w:shd w:val="clear" w:color="auto" w:fill="FFFFFF" w:themeFill="background1"/>
        <w:spacing w:before="0" w:beforeAutospacing="0" w:after="250" w:afterAutospacing="0"/>
        <w:ind w:left="0"/>
        <w:rPr>
          <w:rFonts w:ascii="Helvetica" w:hAnsi="Helvetica" w:cs="Helvetica"/>
          <w:color w:val="524F4F"/>
          <w:sz w:val="18"/>
          <w:szCs w:val="18"/>
        </w:rPr>
      </w:pPr>
      <w:r>
        <w:rPr>
          <w:b/>
          <w:bCs/>
          <w:color w:val="524F4F"/>
          <w:sz w:val="27"/>
          <w:szCs w:val="27"/>
        </w:rPr>
        <w:t>Συμμετοχή σε διεθνή γλωσσικά συνέδρια</w:t>
      </w:r>
      <w:r>
        <w:rPr>
          <w:color w:val="524F4F"/>
          <w:sz w:val="27"/>
          <w:szCs w:val="27"/>
        </w:rPr>
        <w:t> - διάδοση των ελληνικών και της ελληνικής λογοτεχνίας</w:t>
      </w:r>
    </w:p>
    <w:p w:rsidR="0076131F" w:rsidRDefault="0076131F" w:rsidP="0076131F">
      <w:pPr>
        <w:pStyle w:val="western"/>
        <w:shd w:val="clear" w:color="auto" w:fill="FFFFFF" w:themeFill="background1"/>
        <w:spacing w:before="250" w:beforeAutospacing="0" w:after="250" w:afterAutospacing="0"/>
        <w:rPr>
          <w:rFonts w:ascii="Helvetica" w:hAnsi="Helvetica" w:cs="Helvetica"/>
          <w:color w:val="524F4F"/>
          <w:sz w:val="18"/>
          <w:szCs w:val="18"/>
        </w:rPr>
      </w:pPr>
      <w:r>
        <w:rPr>
          <w:rFonts w:ascii="Helvetica" w:hAnsi="Helvetica" w:cs="Helvetica"/>
          <w:color w:val="524F4F"/>
          <w:sz w:val="18"/>
          <w:szCs w:val="18"/>
        </w:rPr>
        <w:t> </w:t>
      </w:r>
    </w:p>
    <w:p w:rsidR="0076131F" w:rsidRDefault="0076131F" w:rsidP="0076131F">
      <w:pPr>
        <w:pStyle w:val="western"/>
        <w:shd w:val="clear" w:color="auto" w:fill="FFFFFF" w:themeFill="background1"/>
        <w:spacing w:before="250" w:beforeAutospacing="0" w:after="250" w:afterAutospacing="0"/>
        <w:rPr>
          <w:rFonts w:ascii="Helvetica" w:hAnsi="Helvetica" w:cs="Helvetica"/>
          <w:color w:val="524F4F"/>
          <w:sz w:val="18"/>
          <w:szCs w:val="18"/>
        </w:rPr>
      </w:pPr>
      <w:r>
        <w:rPr>
          <w:b/>
          <w:bCs/>
          <w:color w:val="524F4F"/>
          <w:sz w:val="27"/>
          <w:szCs w:val="27"/>
          <w:u w:val="single"/>
        </w:rPr>
        <w:t>Παράγραφος 2: Ατομική μέριμνα</w:t>
      </w:r>
    </w:p>
    <w:p w:rsidR="0076131F" w:rsidRDefault="0076131F" w:rsidP="0076131F">
      <w:pPr>
        <w:pStyle w:val="Web"/>
        <w:numPr>
          <w:ilvl w:val="0"/>
          <w:numId w:val="5"/>
        </w:numPr>
        <w:shd w:val="clear" w:color="auto" w:fill="FFFFFF" w:themeFill="background1"/>
        <w:spacing w:before="0" w:beforeAutospacing="0" w:after="250" w:afterAutospacing="0"/>
        <w:ind w:left="0"/>
        <w:rPr>
          <w:rFonts w:ascii="Helvetica" w:hAnsi="Helvetica" w:cs="Helvetica"/>
          <w:color w:val="524F4F"/>
          <w:sz w:val="18"/>
          <w:szCs w:val="18"/>
        </w:rPr>
      </w:pPr>
      <w:r>
        <w:rPr>
          <w:b/>
          <w:bCs/>
          <w:color w:val="524F4F"/>
          <w:sz w:val="27"/>
          <w:szCs w:val="27"/>
        </w:rPr>
        <w:t>Οικογένεια - πρότυπο γλωσσικής καλλιέργειας - διάλογος από μικρή ηλικία - γλωσσική εξάσκηση - γλωσσική καλλιέργεια - επικοινωνιακές δεξιότητες</w:t>
      </w:r>
    </w:p>
    <w:p w:rsidR="0076131F" w:rsidRDefault="0076131F" w:rsidP="0076131F">
      <w:pPr>
        <w:pStyle w:val="Web"/>
        <w:numPr>
          <w:ilvl w:val="0"/>
          <w:numId w:val="5"/>
        </w:numPr>
        <w:shd w:val="clear" w:color="auto" w:fill="FFFFFF" w:themeFill="background1"/>
        <w:spacing w:before="0" w:beforeAutospacing="0" w:after="250" w:afterAutospacing="0"/>
        <w:ind w:left="0"/>
        <w:rPr>
          <w:rFonts w:ascii="Helvetica" w:hAnsi="Helvetica" w:cs="Helvetica"/>
          <w:color w:val="524F4F"/>
          <w:sz w:val="18"/>
          <w:szCs w:val="18"/>
        </w:rPr>
      </w:pPr>
      <w:r>
        <w:rPr>
          <w:b/>
          <w:bCs/>
          <w:color w:val="524F4F"/>
          <w:sz w:val="27"/>
          <w:szCs w:val="27"/>
        </w:rPr>
        <w:t xml:space="preserve">Παράδειγμα για την καλλιέργεια της </w:t>
      </w:r>
      <w:proofErr w:type="spellStart"/>
      <w:r>
        <w:rPr>
          <w:b/>
          <w:bCs/>
          <w:color w:val="524F4F"/>
          <w:sz w:val="27"/>
          <w:szCs w:val="27"/>
        </w:rPr>
        <w:t>φιλαναγνωσίας</w:t>
      </w:r>
      <w:proofErr w:type="spellEnd"/>
      <w:r>
        <w:rPr>
          <w:b/>
          <w:bCs/>
          <w:color w:val="524F4F"/>
          <w:sz w:val="27"/>
          <w:szCs w:val="27"/>
        </w:rPr>
        <w:t> </w:t>
      </w:r>
      <w:r>
        <w:rPr>
          <w:color w:val="524F4F"/>
          <w:sz w:val="27"/>
          <w:szCs w:val="27"/>
        </w:rPr>
        <w:t>- διάβασμα βιβλίων - παράδειγμα προς μίμηση για τα παιδιά</w:t>
      </w:r>
    </w:p>
    <w:p w:rsidR="0076131F" w:rsidRDefault="0076131F" w:rsidP="0076131F">
      <w:pPr>
        <w:pStyle w:val="Web"/>
        <w:numPr>
          <w:ilvl w:val="0"/>
          <w:numId w:val="5"/>
        </w:numPr>
        <w:shd w:val="clear" w:color="auto" w:fill="FFFFFF" w:themeFill="background1"/>
        <w:spacing w:before="0" w:beforeAutospacing="0" w:after="250" w:afterAutospacing="0"/>
        <w:ind w:left="0"/>
        <w:rPr>
          <w:rFonts w:ascii="Helvetica" w:hAnsi="Helvetica" w:cs="Helvetica"/>
          <w:color w:val="524F4F"/>
          <w:sz w:val="18"/>
          <w:szCs w:val="18"/>
        </w:rPr>
      </w:pPr>
      <w:r>
        <w:rPr>
          <w:color w:val="524F4F"/>
          <w:sz w:val="27"/>
          <w:szCs w:val="27"/>
        </w:rPr>
        <w:t>Ο καθένας μας να έχει αναζητήσεις σχετικά με τη γλώσσα μας, να διαβάζει και να ενημερώνεται.</w:t>
      </w:r>
    </w:p>
    <w:p w:rsidR="00F97B1A" w:rsidRDefault="00F97B1A" w:rsidP="0076131F">
      <w:pPr>
        <w:shd w:val="clear" w:color="auto" w:fill="FFFFFF" w:themeFill="background1"/>
      </w:pPr>
    </w:p>
    <w:sectPr w:rsidR="00F97B1A" w:rsidSect="00F97B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6479"/>
    <w:multiLevelType w:val="multilevel"/>
    <w:tmpl w:val="839C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66E7B"/>
    <w:multiLevelType w:val="multilevel"/>
    <w:tmpl w:val="8C4C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B2B03"/>
    <w:multiLevelType w:val="multilevel"/>
    <w:tmpl w:val="A370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843819"/>
    <w:multiLevelType w:val="multilevel"/>
    <w:tmpl w:val="EF18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E00FC"/>
    <w:multiLevelType w:val="multilevel"/>
    <w:tmpl w:val="E428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6131F"/>
    <w:rsid w:val="0076131F"/>
    <w:rsid w:val="00F9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6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76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2021-10-23T07:47:00Z</dcterms:created>
  <dcterms:modified xsi:type="dcterms:W3CDTF">2021-10-23T07:49:00Z</dcterms:modified>
</cp:coreProperties>
</file>