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7A" w:rsidRPr="00FD3B7A" w:rsidRDefault="00FD3B7A" w:rsidP="00FD3B7A">
      <w:pPr>
        <w:spacing w:after="0" w:line="312" w:lineRule="atLeast"/>
        <w:ind w:left="60" w:right="60"/>
        <w:rPr>
          <w:rFonts w:ascii="Calibri" w:eastAsia="Times New Roman" w:hAnsi="Calibri" w:cs="Calibri"/>
          <w:sz w:val="30"/>
          <w:szCs w:val="30"/>
          <w:lang w:val="el-GR"/>
        </w:rPr>
      </w:pPr>
      <w:r w:rsidRPr="00FD3B7A">
        <w:rPr>
          <w:rFonts w:ascii="Calibri" w:eastAsia="Times New Roman" w:hAnsi="Calibri" w:cs="Calibri"/>
          <w:b/>
          <w:bCs/>
          <w:sz w:val="30"/>
          <w:szCs w:val="30"/>
          <w:lang w:val="el-GR"/>
        </w:rPr>
        <w:t>8η Ενότητα, Ένα παράδειγμα σεβασμού προς τους γονείς</w:t>
      </w:r>
      <w:r w:rsidRPr="00FD3B7A">
        <w:rPr>
          <w:rFonts w:ascii="Calibri" w:eastAsia="Times New Roman" w:hAnsi="Calibri" w:cs="Calibri"/>
          <w:sz w:val="30"/>
          <w:szCs w:val="30"/>
        </w:rPr>
        <w:t> </w:t>
      </w:r>
      <w:r>
        <w:rPr>
          <w:rFonts w:ascii="Calibri" w:eastAsia="Times New Roman" w:hAnsi="Calibri" w:cs="Calibri"/>
          <w:noProof/>
          <w:color w:val="0000FF"/>
          <w:sz w:val="30"/>
          <w:szCs w:val="30"/>
        </w:rPr>
        <w:drawing>
          <wp:inline distT="0" distB="0" distL="0" distR="0">
            <wp:extent cx="236220" cy="182880"/>
            <wp:effectExtent l="19050" t="0" r="0" b="0"/>
            <wp:docPr id="1" name="Picture 1" descr="doc">
              <a:hlinkClick xmlns:a="http://schemas.openxmlformats.org/drawingml/2006/main" r:id="rId5" tooltip="&quot;κατέβασε τη μετάφραση σε αρχείο 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a:hlinkClick r:id="rId5" tooltip="&quot;κατέβασε τη μετάφραση σε αρχείο doc&quot;"/>
                    </pic:cNvPr>
                    <pic:cNvPicPr>
                      <a:picLocks noChangeAspect="1" noChangeArrowheads="1"/>
                    </pic:cNvPicPr>
                  </pic:nvPicPr>
                  <pic:blipFill>
                    <a:blip r:embed="rId6" cstate="print"/>
                    <a:srcRect/>
                    <a:stretch>
                      <a:fillRect/>
                    </a:stretch>
                  </pic:blipFill>
                  <pic:spPr bwMode="auto">
                    <a:xfrm>
                      <a:off x="0" y="0"/>
                      <a:ext cx="236220" cy="182880"/>
                    </a:xfrm>
                    <a:prstGeom prst="rect">
                      <a:avLst/>
                    </a:prstGeom>
                    <a:noFill/>
                    <a:ln w="9525">
                      <a:noFill/>
                      <a:miter lim="800000"/>
                      <a:headEnd/>
                      <a:tailEnd/>
                    </a:ln>
                  </pic:spPr>
                </pic:pic>
              </a:graphicData>
            </a:graphic>
          </wp:inline>
        </w:drawing>
      </w:r>
    </w:p>
    <w:p w:rsidR="00FD3B7A" w:rsidRPr="00FD3B7A" w:rsidRDefault="00FD3B7A" w:rsidP="00FD3B7A">
      <w:pPr>
        <w:spacing w:after="0" w:line="312" w:lineRule="atLeast"/>
        <w:ind w:left="60" w:right="60" w:firstLine="192"/>
        <w:rPr>
          <w:rFonts w:ascii="Calibri" w:eastAsia="Times New Roman" w:hAnsi="Calibri" w:cs="Calibri"/>
          <w:color w:val="000000"/>
          <w:sz w:val="30"/>
          <w:szCs w:val="30"/>
          <w:lang w:val="el-GR"/>
        </w:rPr>
      </w:pPr>
      <w:r w:rsidRPr="00FD3B7A">
        <w:rPr>
          <w:rFonts w:ascii="Calibri" w:eastAsia="Times New Roman" w:hAnsi="Calibri" w:cs="Calibri"/>
          <w:color w:val="000000"/>
          <w:sz w:val="30"/>
          <w:szCs w:val="30"/>
        </w:rPr>
        <w:t> </w:t>
      </w:r>
    </w:p>
    <w:tbl>
      <w:tblPr>
        <w:tblW w:w="0" w:type="dxa"/>
        <w:jc w:val="center"/>
        <w:tblInd w:w="60" w:type="dxa"/>
        <w:tblCellMar>
          <w:top w:w="15" w:type="dxa"/>
          <w:left w:w="15" w:type="dxa"/>
          <w:bottom w:w="15" w:type="dxa"/>
          <w:right w:w="15" w:type="dxa"/>
        </w:tblCellMar>
        <w:tblLook w:val="04A0"/>
      </w:tblPr>
      <w:tblGrid>
        <w:gridCol w:w="4794"/>
        <w:gridCol w:w="4794"/>
      </w:tblGrid>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Λέγεται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γοῦν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b/>
                <w:sz w:val="30"/>
                <w:szCs w:val="30"/>
                <w:u w:val="single"/>
              </w:rPr>
              <w:t>ἐν</w:t>
            </w:r>
            <w:proofErr w:type="spellEnd"/>
            <w:r w:rsidRPr="00FD3B7A">
              <w:rPr>
                <w:rFonts w:ascii="Calibri" w:eastAsia="Times New Roman" w:hAnsi="Calibri" w:cs="Calibri"/>
                <w:b/>
                <w:sz w:val="30"/>
                <w:szCs w:val="30"/>
                <w:u w:val="single"/>
              </w:rPr>
              <w:t xml:space="preserve"> </w:t>
            </w:r>
            <w:proofErr w:type="spellStart"/>
            <w:r w:rsidRPr="00FD3B7A">
              <w:rPr>
                <w:rFonts w:ascii="Calibri" w:eastAsia="Times New Roman" w:hAnsi="Calibri" w:cs="Calibri"/>
                <w:b/>
                <w:sz w:val="30"/>
                <w:szCs w:val="30"/>
                <w:u w:val="single"/>
              </w:rPr>
              <w:t>Σικελίᾳ</w:t>
            </w:r>
            <w:proofErr w:type="spellEnd"/>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Λέγεται λοιπόν ότι στη Σικελία</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(εἰ γὰρ καὶ μυθωδέστερόν ἐστιν, ἀλλ’ ἁρμόσει</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(γιατί αν και μοιάζει με μύθο, ταιριάζει όμως</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 xml:space="preserve">καὶ </w:t>
            </w:r>
            <w:r w:rsidRPr="00FD3B7A">
              <w:rPr>
                <w:rFonts w:ascii="Calibri" w:eastAsia="Times New Roman" w:hAnsi="Calibri" w:cs="Calibri"/>
                <w:b/>
                <w:sz w:val="30"/>
                <w:szCs w:val="30"/>
                <w:u w:val="single"/>
                <w:lang w:val="el-GR"/>
              </w:rPr>
              <w:t xml:space="preserve">νῦν </w:t>
            </w:r>
            <w:r w:rsidRPr="00FD3B7A">
              <w:rPr>
                <w:rFonts w:ascii="Calibri" w:eastAsia="Times New Roman" w:hAnsi="Calibri" w:cs="Calibri"/>
                <w:sz w:val="30"/>
                <w:szCs w:val="30"/>
                <w:lang w:val="el-GR"/>
              </w:rPr>
              <w:t xml:space="preserve">ἅπασι τοῖς νεωτέροις </w:t>
            </w:r>
            <w:r w:rsidRPr="00FD3B7A">
              <w:rPr>
                <w:rFonts w:ascii="Calibri" w:eastAsia="Times New Roman" w:hAnsi="Calibri" w:cs="Calibri"/>
                <w:b/>
                <w:sz w:val="30"/>
                <w:szCs w:val="30"/>
                <w:u w:val="single"/>
                <w:lang w:val="el-GR"/>
              </w:rPr>
              <w:t>ἀκοῦσαι)</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και τώρα όλοι οι νεότεροι να το ακούσουν)</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b/>
                <w:sz w:val="30"/>
                <w:szCs w:val="30"/>
                <w:u w:val="single"/>
                <w:lang w:val="el-GR"/>
              </w:rPr>
              <w:t>ἐκ τῆς Αἴτνης</w:t>
            </w:r>
            <w:r w:rsidRPr="00FD3B7A">
              <w:rPr>
                <w:rFonts w:ascii="Calibri" w:eastAsia="Times New Roman" w:hAnsi="Calibri" w:cs="Calibri"/>
                <w:sz w:val="30"/>
                <w:szCs w:val="30"/>
                <w:lang w:val="el-GR"/>
              </w:rPr>
              <w:t xml:space="preserve"> ῥύακα πυρὸς γενέσθαι·</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ξεχύθηκε πύρινο ποτάμι από την Αίτνα·</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 xml:space="preserve">τοῦτον δὲ ῥεῖν φασιν ἐπί τὲ τὴν </w:t>
            </w:r>
            <w:r w:rsidRPr="00FD3B7A">
              <w:rPr>
                <w:rFonts w:ascii="Calibri" w:eastAsia="Times New Roman" w:hAnsi="Calibri" w:cs="Calibri"/>
                <w:b/>
                <w:sz w:val="30"/>
                <w:szCs w:val="30"/>
                <w:u w:val="single"/>
                <w:lang w:val="el-GR"/>
              </w:rPr>
              <w:t>ἄλλην</w:t>
            </w:r>
            <w:r w:rsidRPr="00FD3B7A">
              <w:rPr>
                <w:rFonts w:ascii="Calibri" w:eastAsia="Times New Roman" w:hAnsi="Calibri" w:cs="Calibri"/>
                <w:sz w:val="30"/>
                <w:szCs w:val="30"/>
                <w:lang w:val="el-GR"/>
              </w:rPr>
              <w:t xml:space="preserve"> χώραν,</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αυτό λοιπόν λένε ότι έρεε προς την υπόλοιπη χώρα,</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 xml:space="preserve">καὶ δὴ καὶ </w:t>
            </w:r>
            <w:r w:rsidRPr="00FD3B7A">
              <w:rPr>
                <w:rFonts w:ascii="Calibri" w:eastAsia="Times New Roman" w:hAnsi="Calibri" w:cs="Calibri"/>
                <w:b/>
                <w:sz w:val="30"/>
                <w:szCs w:val="30"/>
                <w:u w:val="single"/>
                <w:lang w:val="el-GR"/>
              </w:rPr>
              <w:t>πρὸς πόλιν</w:t>
            </w:r>
            <w:r w:rsidRPr="00FD3B7A">
              <w:rPr>
                <w:rFonts w:ascii="Calibri" w:eastAsia="Times New Roman" w:hAnsi="Calibri" w:cs="Calibri"/>
                <w:sz w:val="30"/>
                <w:szCs w:val="30"/>
                <w:lang w:val="el-GR"/>
              </w:rPr>
              <w:t xml:space="preserve"> τινὰ τῶν ἐκεῖ κατοικουμένων.</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και μάλιστα προς κάποια πόλη από αυτές που βρίσκονταν εκεί.</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 xml:space="preserve">Τοὺς μὲν οὖν ἄλλους ὁρμῆσαι </w:t>
            </w:r>
            <w:r w:rsidRPr="00FD3B7A">
              <w:rPr>
                <w:rFonts w:ascii="Calibri" w:eastAsia="Times New Roman" w:hAnsi="Calibri" w:cs="Calibri"/>
                <w:b/>
                <w:sz w:val="30"/>
                <w:szCs w:val="30"/>
                <w:u w:val="single"/>
                <w:lang w:val="el-GR"/>
              </w:rPr>
              <w:t>πρὸς φυγήν,</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[Λένε ακόμη], ότι οι άλλοι όρμησαν να φύγουν</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τὴν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αὐτῶν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σωτηρίαν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b/>
                <w:sz w:val="30"/>
                <w:szCs w:val="30"/>
                <w:u w:val="single"/>
              </w:rPr>
              <w:t>ζητοῦντας</w:t>
            </w:r>
            <w:proofErr w:type="spellEnd"/>
            <w:r w:rsidRPr="00FD3B7A">
              <w:rPr>
                <w:rFonts w:ascii="Calibri" w:eastAsia="Times New Roman" w:hAnsi="Calibri" w:cs="Calibri"/>
                <w:b/>
                <w:sz w:val="30"/>
                <w:szCs w:val="30"/>
                <w:u w:val="single"/>
              </w:rPr>
              <w:t>,</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ζητώντας</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τη</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σωτηρία</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τους</w:t>
            </w:r>
            <w:proofErr w:type="spellEnd"/>
            <w:r w:rsidRPr="00FD3B7A">
              <w:rPr>
                <w:rFonts w:ascii="Calibri" w:eastAsia="Times New Roman" w:hAnsi="Calibri" w:cs="Calibri"/>
                <w:sz w:val="30"/>
                <w:szCs w:val="30"/>
              </w:rPr>
              <w:t>,</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ἕνα δὲ τινα τῶν νεωτέρων,</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ένας όμως από τους νεότερους,</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b/>
                <w:sz w:val="30"/>
                <w:szCs w:val="30"/>
                <w:u w:val="single"/>
                <w:lang w:val="el-GR"/>
              </w:rPr>
              <w:t>ὁρῶντα</w:t>
            </w:r>
            <w:r w:rsidRPr="00FD3B7A">
              <w:rPr>
                <w:rFonts w:ascii="Calibri" w:eastAsia="Times New Roman" w:hAnsi="Calibri" w:cs="Calibri"/>
                <w:sz w:val="30"/>
                <w:szCs w:val="30"/>
                <w:lang w:val="el-GR"/>
              </w:rPr>
              <w:t xml:space="preserve"> τὸν πατέρα πρεσβύτερον ὄντα</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επειδή έβλεπε ότι ο πατέρας του ήταν γέρος</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καὶ</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οὐχί</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δυνάμενον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ἀποχωρεῖν</w:t>
            </w:r>
            <w:proofErr w:type="spellEnd"/>
            <w:r w:rsidRPr="00FD3B7A">
              <w:rPr>
                <w:rFonts w:ascii="Calibri" w:eastAsia="Times New Roman" w:hAnsi="Calibri" w:cs="Calibri"/>
                <w:sz w:val="30"/>
                <w:szCs w:val="30"/>
              </w:rPr>
              <w:t>,</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και δεν μπορούσε να φύγει,</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 xml:space="preserve">ἀλλὰ ἐγκαταλαμβανόμενον, </w:t>
            </w:r>
            <w:r w:rsidRPr="00FD3B7A">
              <w:rPr>
                <w:rFonts w:ascii="Calibri" w:eastAsia="Times New Roman" w:hAnsi="Calibri" w:cs="Calibri"/>
                <w:b/>
                <w:sz w:val="30"/>
                <w:szCs w:val="30"/>
                <w:u w:val="single"/>
                <w:lang w:val="el-GR"/>
              </w:rPr>
              <w:t>ὑπὸ τοῦ πυρός,</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και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ότι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μένει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αποκλεισμένος</w:t>
            </w:r>
            <w:proofErr w:type="spellEnd"/>
            <w:r w:rsidRPr="00FD3B7A">
              <w:rPr>
                <w:rFonts w:ascii="Calibri" w:eastAsia="Times New Roman" w:hAnsi="Calibri" w:cs="Calibri"/>
                <w:sz w:val="30"/>
                <w:szCs w:val="30"/>
              </w:rPr>
              <w:t>,</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proofErr w:type="gramStart"/>
            <w:r w:rsidRPr="00FD3B7A">
              <w:rPr>
                <w:rFonts w:ascii="Calibri" w:eastAsia="Times New Roman" w:hAnsi="Calibri" w:cs="Calibri"/>
                <w:b/>
                <w:sz w:val="30"/>
                <w:szCs w:val="30"/>
                <w:u w:val="single"/>
              </w:rPr>
              <w:t>ἀράμενον</w:t>
            </w:r>
            <w:proofErr w:type="spellEnd"/>
            <w:proofErr w:type="gram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φέρειν</w:t>
            </w:r>
            <w:proofErr w:type="spellEnd"/>
            <w:r w:rsidRPr="00FD3B7A">
              <w:rPr>
                <w:rFonts w:ascii="Calibri" w:eastAsia="Times New Roman" w:hAnsi="Calibri" w:cs="Calibri"/>
                <w:sz w:val="30"/>
                <w:szCs w:val="30"/>
              </w:rPr>
              <w:t>.</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αφού</w:t>
            </w:r>
            <w:r w:rsidRPr="00FD3B7A">
              <w:rPr>
                <w:rFonts w:ascii="Calibri" w:eastAsia="Times New Roman" w:hAnsi="Calibri" w:cs="Calibri"/>
                <w:sz w:val="30"/>
                <w:szCs w:val="30"/>
              </w:rPr>
              <w:t> </w:t>
            </w:r>
            <w:r w:rsidRPr="00FD3B7A">
              <w:rPr>
                <w:rFonts w:ascii="Calibri" w:eastAsia="Times New Roman" w:hAnsi="Calibri" w:cs="Calibri"/>
                <w:sz w:val="30"/>
                <w:szCs w:val="30"/>
                <w:lang w:val="el-GR"/>
              </w:rPr>
              <w:t xml:space="preserve"> τον σήκωσε στους ώμους του, τον μετέφερε.</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Φορτίου δ’, οἶμαι, προσγενομένου καὶ αὐτός ἐγκατελήφθη.</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Επειδή όμως, όπως νομίζω, προστέθηκε φορτίο, αποκλείσθηκε και ο ίδιος.</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lastRenderedPageBreak/>
              <w:t>Ὅθεν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δὴ</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καὶ</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ἄξιον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b/>
                <w:sz w:val="30"/>
                <w:szCs w:val="30"/>
                <w:u w:val="single"/>
              </w:rPr>
              <w:t>θεωρῆσαι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τὸ</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θεῖον</w:t>
            </w:r>
            <w:proofErr w:type="spellEnd"/>
            <w:r w:rsidRPr="00FD3B7A">
              <w:rPr>
                <w:rFonts w:ascii="Calibri" w:eastAsia="Times New Roman" w:hAnsi="Calibri" w:cs="Calibri"/>
                <w:sz w:val="30"/>
                <w:szCs w:val="30"/>
              </w:rPr>
              <w:t>,</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Από αυτό το γεγονός αξίζει να προσέξουμε ότι το θείο</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 xml:space="preserve">ὅτι τοῖς ἀνδράσιν </w:t>
            </w:r>
            <w:r w:rsidRPr="00FD3B7A">
              <w:rPr>
                <w:rFonts w:ascii="Calibri" w:eastAsia="Times New Roman" w:hAnsi="Calibri" w:cs="Calibri"/>
                <w:b/>
                <w:sz w:val="30"/>
                <w:szCs w:val="30"/>
                <w:u w:val="single"/>
                <w:lang w:val="el-GR"/>
              </w:rPr>
              <w:t>τοῖς ἀγαθοῖς</w:t>
            </w:r>
            <w:r w:rsidRPr="00FD3B7A">
              <w:rPr>
                <w:rFonts w:ascii="Calibri" w:eastAsia="Times New Roman" w:hAnsi="Calibri" w:cs="Calibri"/>
                <w:sz w:val="30"/>
                <w:szCs w:val="30"/>
                <w:lang w:val="el-GR"/>
              </w:rPr>
              <w:t xml:space="preserve"> εὐμενῶς ἔχει.</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δείχνει συμπάθεια στους αγαθούς (ενάρετους) ανθρώπους.</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Λέγεται γὰρ κύκλῳ τὸν τόπον ἐκεῖνον π</w:t>
            </w:r>
            <w:r w:rsidRPr="00FD3B7A">
              <w:rPr>
                <w:rFonts w:ascii="Calibri" w:eastAsia="Times New Roman" w:hAnsi="Calibri" w:cs="Calibri"/>
                <w:b/>
                <w:sz w:val="30"/>
                <w:szCs w:val="30"/>
                <w:u w:val="single"/>
                <w:lang w:val="el-GR"/>
              </w:rPr>
              <w:t>εριρρυῆναι</w:t>
            </w:r>
            <w:r w:rsidRPr="00FD3B7A">
              <w:rPr>
                <w:rFonts w:ascii="Calibri" w:eastAsia="Times New Roman" w:hAnsi="Calibri" w:cs="Calibri"/>
                <w:sz w:val="30"/>
                <w:szCs w:val="30"/>
                <w:lang w:val="el-GR"/>
              </w:rPr>
              <w:t xml:space="preserve"> τὸ πῦρ</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Γιατί, λέγεται ότι η λάβα κύλησε ολόγυρα και περικύκλωσε το μέρος εκείνο</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καὶ</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σωθῆναι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τούτους</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μόνους</w:t>
            </w:r>
            <w:proofErr w:type="spellEnd"/>
            <w:r w:rsidRPr="00FD3B7A">
              <w:rPr>
                <w:rFonts w:ascii="Calibri" w:eastAsia="Times New Roman" w:hAnsi="Calibri" w:cs="Calibri"/>
                <w:sz w:val="30"/>
                <w:szCs w:val="30"/>
              </w:rPr>
              <w:t>,</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και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σώθηκαν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μόνο</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αυτοί</w:t>
            </w:r>
            <w:proofErr w:type="spellEnd"/>
            <w:r w:rsidRPr="00FD3B7A">
              <w:rPr>
                <w:rFonts w:ascii="Calibri" w:eastAsia="Times New Roman" w:hAnsi="Calibri" w:cs="Calibri"/>
                <w:sz w:val="30"/>
                <w:szCs w:val="30"/>
              </w:rPr>
              <w:t>,</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ἀφ</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ὧν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καὶ</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τὸ</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χωρίον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ἔτι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καὶ</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νῦν</w:t>
            </w:r>
            <w:proofErr w:type="spellEnd"/>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από τους οποίους και η τοποθεσία ακόμη και σήμερα</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προσαγορεύεσθαι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τῶν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εὐσεβῶν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χῶρον</w:t>
            </w:r>
            <w:proofErr w:type="spellEnd"/>
            <w:r w:rsidRPr="00FD3B7A">
              <w:rPr>
                <w:rFonts w:ascii="Calibri" w:eastAsia="Times New Roman" w:hAnsi="Calibri" w:cs="Calibri"/>
                <w:sz w:val="30"/>
                <w:szCs w:val="30"/>
              </w:rPr>
              <w:t>·</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ονομάζεται</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χώρος</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των</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ευσεβών</w:t>
            </w:r>
            <w:proofErr w:type="spellEnd"/>
            <w:r w:rsidRPr="00FD3B7A">
              <w:rPr>
                <w:rFonts w:ascii="Calibri" w:eastAsia="Times New Roman" w:hAnsi="Calibri" w:cs="Calibri"/>
                <w:sz w:val="30"/>
                <w:szCs w:val="30"/>
              </w:rPr>
              <w:t>»·</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τοὺς δὲ ταχεῖαν τὴν ἀποχώρησιν ποιησαμένους</w:t>
            </w:r>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αντίθετα εκείνοι που έφυγαν γρήγορα</w:t>
            </w:r>
          </w:p>
        </w:tc>
      </w:tr>
      <w:tr w:rsidR="00FD3B7A" w:rsidRPr="00FD3B7A" w:rsidTr="00FD3B7A">
        <w:trPr>
          <w:jc w:val="center"/>
        </w:trPr>
        <w:tc>
          <w:tcPr>
            <w:tcW w:w="2500" w:type="pct"/>
            <w:shd w:val="clear" w:color="auto" w:fill="F1F1F1"/>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καὶ τοὺς ἑαυτῶν γονέας ἐγκαταλιπόντας,</w:t>
            </w:r>
          </w:p>
        </w:tc>
        <w:tc>
          <w:tcPr>
            <w:tcW w:w="2500" w:type="pct"/>
            <w:shd w:val="clear" w:color="auto" w:fill="F1F1F1"/>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lang w:val="el-GR"/>
              </w:rPr>
            </w:pPr>
            <w:r w:rsidRPr="00FD3B7A">
              <w:rPr>
                <w:rFonts w:ascii="Calibri" w:eastAsia="Times New Roman" w:hAnsi="Calibri" w:cs="Calibri"/>
                <w:sz w:val="30"/>
                <w:szCs w:val="30"/>
                <w:lang w:val="el-GR"/>
              </w:rPr>
              <w:t>και εγκατέλειψαν τους γονείς τους,</w:t>
            </w:r>
          </w:p>
        </w:tc>
      </w:tr>
      <w:tr w:rsidR="00FD3B7A" w:rsidRPr="00FD3B7A" w:rsidTr="00FD3B7A">
        <w:trPr>
          <w:jc w:val="center"/>
        </w:trPr>
        <w:tc>
          <w:tcPr>
            <w:tcW w:w="2500" w:type="pct"/>
            <w:shd w:val="clear" w:color="auto" w:fill="FFFFFF"/>
            <w:tcMar>
              <w:top w:w="96" w:type="dxa"/>
              <w:left w:w="192"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r w:rsidRPr="00FD3B7A">
              <w:rPr>
                <w:rFonts w:ascii="Calibri" w:eastAsia="Times New Roman" w:hAnsi="Calibri" w:cs="Calibri"/>
                <w:sz w:val="30"/>
                <w:szCs w:val="30"/>
              </w:rPr>
              <w:t>ἅπαντας</w:t>
            </w:r>
            <w:proofErr w:type="spell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ἀπολέσθαι</w:t>
            </w:r>
            <w:proofErr w:type="spellEnd"/>
          </w:p>
        </w:tc>
        <w:tc>
          <w:tcPr>
            <w:tcW w:w="2500" w:type="pct"/>
            <w:shd w:val="clear" w:color="auto" w:fill="FFFFFF"/>
            <w:tcMar>
              <w:top w:w="96" w:type="dxa"/>
              <w:left w:w="96" w:type="dxa"/>
              <w:bottom w:w="96" w:type="dxa"/>
              <w:right w:w="96" w:type="dxa"/>
            </w:tcMar>
            <w:hideMark/>
          </w:tcPr>
          <w:p w:rsidR="00FD3B7A" w:rsidRPr="00FD3B7A" w:rsidRDefault="00FD3B7A" w:rsidP="00FD3B7A">
            <w:pPr>
              <w:spacing w:after="0" w:line="312" w:lineRule="atLeast"/>
              <w:rPr>
                <w:rFonts w:ascii="Calibri" w:eastAsia="Times New Roman" w:hAnsi="Calibri" w:cs="Calibri"/>
                <w:sz w:val="30"/>
                <w:szCs w:val="30"/>
              </w:rPr>
            </w:pPr>
            <w:proofErr w:type="spellStart"/>
            <w:proofErr w:type="gramStart"/>
            <w:r w:rsidRPr="00FD3B7A">
              <w:rPr>
                <w:rFonts w:ascii="Calibri" w:eastAsia="Times New Roman" w:hAnsi="Calibri" w:cs="Calibri"/>
                <w:sz w:val="30"/>
                <w:szCs w:val="30"/>
              </w:rPr>
              <w:t>χάθηκαν</w:t>
            </w:r>
            <w:proofErr w:type="spellEnd"/>
            <w:proofErr w:type="gramEnd"/>
            <w:r w:rsidRPr="00FD3B7A">
              <w:rPr>
                <w:rFonts w:ascii="Calibri" w:eastAsia="Times New Roman" w:hAnsi="Calibri" w:cs="Calibri"/>
                <w:sz w:val="30"/>
                <w:szCs w:val="30"/>
              </w:rPr>
              <w:t xml:space="preserve"> </w:t>
            </w:r>
            <w:proofErr w:type="spellStart"/>
            <w:r w:rsidRPr="00FD3B7A">
              <w:rPr>
                <w:rFonts w:ascii="Calibri" w:eastAsia="Times New Roman" w:hAnsi="Calibri" w:cs="Calibri"/>
                <w:sz w:val="30"/>
                <w:szCs w:val="30"/>
              </w:rPr>
              <w:t>όλοι</w:t>
            </w:r>
            <w:proofErr w:type="spellEnd"/>
            <w:r w:rsidRPr="00FD3B7A">
              <w:rPr>
                <w:rFonts w:ascii="Calibri" w:eastAsia="Times New Roman" w:hAnsi="Calibri" w:cs="Calibri"/>
                <w:sz w:val="30"/>
                <w:szCs w:val="30"/>
              </w:rPr>
              <w:t>.</w:t>
            </w:r>
          </w:p>
        </w:tc>
      </w:tr>
    </w:tbl>
    <w:p w:rsidR="00FD3B7A" w:rsidRPr="00FD3B7A" w:rsidRDefault="00FD3B7A" w:rsidP="00FD3B7A">
      <w:pPr>
        <w:spacing w:after="0" w:line="312" w:lineRule="atLeast"/>
        <w:ind w:left="60" w:right="60" w:firstLine="192"/>
        <w:jc w:val="both"/>
        <w:rPr>
          <w:rFonts w:ascii="Calibri" w:eastAsia="Times New Roman" w:hAnsi="Calibri" w:cs="Calibri"/>
          <w:color w:val="000000"/>
          <w:sz w:val="30"/>
          <w:szCs w:val="30"/>
        </w:rPr>
      </w:pPr>
      <w:r w:rsidRPr="00FD3B7A">
        <w:rPr>
          <w:rFonts w:ascii="Calibri" w:eastAsia="Times New Roman" w:hAnsi="Calibri" w:cs="Calibri"/>
          <w:color w:val="000000"/>
          <w:sz w:val="30"/>
          <w:szCs w:val="30"/>
        </w:rPr>
        <w:t> </w:t>
      </w:r>
    </w:p>
    <w:p w:rsidR="00EF4D8B" w:rsidRPr="00EF4D8B" w:rsidRDefault="00EF4D8B" w:rsidP="00EF4D8B">
      <w:pPr>
        <w:shd w:val="clear" w:color="auto" w:fill="EEEEEE"/>
        <w:spacing w:after="0" w:line="240" w:lineRule="auto"/>
        <w:jc w:val="both"/>
        <w:rPr>
          <w:rFonts w:ascii="Georgia" w:eastAsia="Times New Roman" w:hAnsi="Georgia" w:cs="Times New Roman"/>
          <w:color w:val="000000"/>
          <w:sz w:val="28"/>
          <w:szCs w:val="28"/>
          <w:lang w:val="el-GR"/>
        </w:rPr>
      </w:pPr>
      <w:r w:rsidRPr="00EF4D8B">
        <w:rPr>
          <w:rFonts w:ascii="Georgia" w:eastAsia="Times New Roman" w:hAnsi="Georgia" w:cs="Times New Roman"/>
          <w:b/>
          <w:bCs/>
          <w:color w:val="000000"/>
          <w:sz w:val="28"/>
          <w:szCs w:val="28"/>
          <w:lang w:val="el-GR"/>
        </w:rPr>
        <w:t>Β.1</w:t>
      </w:r>
      <w:r w:rsidRPr="00EF4D8B">
        <w:rPr>
          <w:rFonts w:ascii="Georgia" w:eastAsia="Times New Roman" w:hAnsi="Georgia" w:cs="Times New Roman"/>
          <w:color w:val="000000"/>
          <w:sz w:val="28"/>
          <w:szCs w:val="28"/>
          <w:lang w:val="el-GR"/>
        </w:rPr>
        <w:t>.</w:t>
      </w:r>
      <w:r w:rsidRPr="00EF4D8B">
        <w:rPr>
          <w:rFonts w:ascii="Georgia" w:eastAsia="Times New Roman" w:hAnsi="Georgia" w:cs="Times New Roman"/>
          <w:color w:val="000000"/>
          <w:sz w:val="28"/>
          <w:szCs w:val="28"/>
        </w:rPr>
        <w:t> </w:t>
      </w:r>
      <w:r w:rsidRPr="00EF4D8B">
        <w:rPr>
          <w:rFonts w:ascii="Georgia" w:eastAsia="Times New Roman" w:hAnsi="Georgia" w:cs="Times New Roman"/>
          <w:b/>
          <w:bCs/>
          <w:color w:val="000000"/>
          <w:sz w:val="28"/>
          <w:szCs w:val="28"/>
          <w:lang w:val="el-GR"/>
        </w:rPr>
        <w:t>Ποιο περιστατικό διηγείται ο Λυκούργος, για να καταδείξει ότι οι θεοί τιμούν τον σεβασμό προς τους γονείς</w:t>
      </w:r>
      <w:r w:rsidRPr="00EF4D8B">
        <w:rPr>
          <w:rFonts w:ascii="Georgia" w:eastAsia="Times New Roman" w:hAnsi="Georgia" w:cs="Times New Roman"/>
          <w:color w:val="000000"/>
          <w:sz w:val="28"/>
          <w:szCs w:val="28"/>
          <w:lang w:val="el-GR"/>
        </w:rPr>
        <w:t>;</w:t>
      </w:r>
    </w:p>
    <w:p w:rsidR="00EF4D8B" w:rsidRPr="00EF4D8B" w:rsidRDefault="00EF4D8B" w:rsidP="00EF4D8B">
      <w:pPr>
        <w:shd w:val="clear" w:color="auto" w:fill="EEEEEE"/>
        <w:spacing w:after="0" w:line="240" w:lineRule="auto"/>
        <w:jc w:val="both"/>
        <w:rPr>
          <w:rFonts w:ascii="Georgia" w:eastAsia="Times New Roman" w:hAnsi="Georgia" w:cs="Times New Roman"/>
          <w:color w:val="000000"/>
          <w:sz w:val="19"/>
          <w:szCs w:val="19"/>
          <w:lang w:val="el-GR"/>
        </w:rPr>
      </w:pPr>
    </w:p>
    <w:p w:rsidR="00EF4D8B" w:rsidRPr="00EF4D8B" w:rsidRDefault="00EF4D8B" w:rsidP="00EF4D8B">
      <w:pPr>
        <w:shd w:val="clear" w:color="auto" w:fill="EEEEEE"/>
        <w:spacing w:after="0" w:line="240" w:lineRule="auto"/>
        <w:jc w:val="both"/>
        <w:rPr>
          <w:rFonts w:ascii="Georgia" w:eastAsia="Times New Roman" w:hAnsi="Georgia" w:cs="Times New Roman"/>
          <w:color w:val="000000"/>
          <w:sz w:val="19"/>
          <w:szCs w:val="19"/>
          <w:lang w:val="el-GR"/>
        </w:rPr>
      </w:pPr>
      <w:r w:rsidRPr="00EF4D8B">
        <w:rPr>
          <w:rFonts w:ascii="Georgia" w:eastAsia="Times New Roman" w:hAnsi="Georgia" w:cs="Times New Roman"/>
          <w:color w:val="000000"/>
          <w:sz w:val="24"/>
          <w:szCs w:val="24"/>
          <w:lang w:val="el-GR"/>
        </w:rPr>
        <w:t>Ο Λυκούργος επιλέγει να διηγηθεί ένα περιστατικό, το οποίο, όπως σχολιάζει, μοιάζει με μύθο, αλλά το θεωρεί ιδανικό για την ανάδειξη του οφειλόμενου σεβασμού προς τους γονείς. Όταν, λοιπόν, εξερράγη το ηφαίστειο της Αίτνας, η λάβα άρχισε να κατακλύζει μια κατοικημένη περιοχή, προκαλώντας πανικό στους ανθρώπους, οι οποίοι άρχισαν να τρέχουν για να σώσουν τη ζωή τους. Σε αντίθεση, όμως, με αυτούς, ένας νέος βλέποντας τη φωτιά να πλησιάζει τον γέρο πατέρα του που δεν μπορούσε να κινηθεί, έσπευσε να τον βοηθήσει. Τον πήρε στους ώμους του και προσπάθησε να τον γλιτώσει, αλλά εξαιτίας τους βάρους δεν μπορούσε πια να τρέξει. Βρέθηκαν, έτσι, κι οι δυο εγκλωβισμένοι από τη φλεγόμενη λάβα. Εντούτοις, κι ενώ φαινόταν πως ήταν πια αδύνατο να σωθούν, η φωτιά κινήθηκε κυκλικά γύρω από αυτούς, αφανίζοντας τελικά όλους τους υπόλοιπους κατοίκους, που βιάστηκαν να φύγουν εγκαταλείποντας τους γονείς τους. Γι’ αυτό το λόγο, μάλιστα, εκείνη η περιοχή ονομάστηκε τόπος των ευσεβών.</w:t>
      </w:r>
    </w:p>
    <w:p w:rsidR="00EF4D8B" w:rsidRDefault="00EF4D8B" w:rsidP="00EF4D8B">
      <w:pPr>
        <w:shd w:val="clear" w:color="auto" w:fill="EEEEEE"/>
        <w:spacing w:after="0" w:line="240" w:lineRule="auto"/>
        <w:jc w:val="both"/>
        <w:rPr>
          <w:rFonts w:ascii="Georgia" w:eastAsia="Times New Roman" w:hAnsi="Georgia" w:cs="Times New Roman"/>
          <w:color w:val="000000"/>
          <w:sz w:val="19"/>
          <w:szCs w:val="19"/>
          <w:lang w:val="el-GR"/>
        </w:rPr>
      </w:pPr>
      <w:r w:rsidRPr="00EF4D8B">
        <w:rPr>
          <w:rFonts w:ascii="Georgia" w:eastAsia="Times New Roman" w:hAnsi="Georgia" w:cs="Times New Roman"/>
          <w:color w:val="000000"/>
          <w:sz w:val="24"/>
          <w:szCs w:val="24"/>
          <w:lang w:val="el-GR"/>
        </w:rPr>
        <w:lastRenderedPageBreak/>
        <w:t>Το συμβάν αυτό, που υποδηλώνει θεία παρέμβαση, έρχεται να δείξει πως οι θεοί εκτιμούν και βοηθούν εκείνους που σέβονται τόσο πολύ τους γονείς τους, ώστε είναι διατεθειμένοι ακόμη και να κινδυνεύσουν προκειμένου να τους προστατεύσουν.</w:t>
      </w:r>
    </w:p>
    <w:p w:rsidR="00035D3B" w:rsidRDefault="00EF4D8B" w:rsidP="00EF4D8B">
      <w:pPr>
        <w:shd w:val="clear" w:color="auto" w:fill="EEEEEE"/>
        <w:spacing w:after="0" w:line="240" w:lineRule="auto"/>
        <w:jc w:val="both"/>
        <w:rPr>
          <w:b/>
          <w:sz w:val="32"/>
          <w:szCs w:val="32"/>
          <w:lang w:val="el-GR"/>
        </w:rPr>
      </w:pPr>
      <w:r w:rsidRPr="00EF4D8B">
        <w:rPr>
          <w:b/>
          <w:sz w:val="32"/>
          <w:szCs w:val="32"/>
          <w:lang w:val="el-GR"/>
        </w:rPr>
        <w:t>Γ.ΣΥΝΤΑΚΤΙΚΗ ΑΝΑΛΥΣΗ.</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b/>
          <w:color w:val="000000"/>
          <w:sz w:val="32"/>
          <w:szCs w:val="32"/>
          <w:lang w:val="el-GR"/>
        </w:rPr>
      </w:pPr>
      <w:r>
        <w:rPr>
          <w:rFonts w:ascii="Georgia" w:eastAsia="Times New Roman" w:hAnsi="Georgia" w:cs="Times New Roman"/>
          <w:color w:val="000000"/>
          <w:sz w:val="32"/>
          <w:szCs w:val="32"/>
          <w:lang w:val="el-GR"/>
        </w:rPr>
        <w:t>Εν Σικελία</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b/>
          <w:color w:val="000000"/>
          <w:sz w:val="32"/>
          <w:szCs w:val="32"/>
          <w:lang w:val="el-GR"/>
        </w:rPr>
      </w:pPr>
      <w:r>
        <w:rPr>
          <w:rFonts w:ascii="Georgia" w:eastAsia="Times New Roman" w:hAnsi="Georgia" w:cs="Times New Roman"/>
          <w:color w:val="000000"/>
          <w:sz w:val="32"/>
          <w:szCs w:val="32"/>
          <w:lang w:val="el-GR"/>
        </w:rPr>
        <w:t>Νυν:</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b/>
          <w:color w:val="000000"/>
          <w:sz w:val="32"/>
          <w:szCs w:val="32"/>
          <w:lang w:val="el-GR"/>
        </w:rPr>
      </w:pPr>
      <w:r>
        <w:rPr>
          <w:rFonts w:ascii="Georgia" w:eastAsia="Times New Roman" w:hAnsi="Georgia" w:cs="Times New Roman"/>
          <w:color w:val="000000"/>
          <w:sz w:val="32"/>
          <w:szCs w:val="32"/>
          <w:lang w:val="el-GR"/>
        </w:rPr>
        <w:t xml:space="preserve">Ακούσαι </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b/>
          <w:color w:val="000000"/>
          <w:sz w:val="32"/>
          <w:szCs w:val="32"/>
          <w:lang w:val="el-GR"/>
        </w:rPr>
      </w:pPr>
      <w:r>
        <w:rPr>
          <w:rFonts w:ascii="Georgia" w:eastAsia="Times New Roman" w:hAnsi="Georgia" w:cs="Times New Roman"/>
          <w:color w:val="000000"/>
          <w:sz w:val="32"/>
          <w:szCs w:val="32"/>
          <w:lang w:val="el-GR"/>
        </w:rPr>
        <w:t>Εκ της Αίτνης</w:t>
      </w:r>
    </w:p>
    <w:p w:rsid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b/>
          <w:color w:val="000000"/>
          <w:sz w:val="32"/>
          <w:szCs w:val="32"/>
          <w:lang w:val="el-GR"/>
        </w:rPr>
      </w:pPr>
      <w:r>
        <w:rPr>
          <w:rFonts w:ascii="Georgia" w:eastAsia="Times New Roman" w:hAnsi="Georgia" w:cs="Times New Roman"/>
          <w:b/>
          <w:color w:val="000000"/>
          <w:sz w:val="32"/>
          <w:szCs w:val="32"/>
          <w:lang w:val="el-GR"/>
        </w:rPr>
        <w:t>Τήν άλλην</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Πρός πόλιν</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 xml:space="preserve">Πρός φυγήν </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Ζητούντας</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Ορώντα</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Υπό του πυρός</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 xml:space="preserve">Αράμενον </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Θεωρήσαι</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 xml:space="preserve">Τοις αγαθοίς </w:t>
      </w:r>
    </w:p>
    <w:p w:rsidR="00EF4D8B" w:rsidRPr="00EF4D8B" w:rsidRDefault="00EF4D8B" w:rsidP="00EF4D8B">
      <w:pPr>
        <w:pStyle w:val="ListParagraph"/>
        <w:numPr>
          <w:ilvl w:val="0"/>
          <w:numId w:val="1"/>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Περιρρυήναι</w:t>
      </w:r>
    </w:p>
    <w:p w:rsidR="00EF4D8B" w:rsidRDefault="00EF4D8B" w:rsidP="00EF4D8B">
      <w:pPr>
        <w:pStyle w:val="ListParagraph"/>
        <w:shd w:val="clear" w:color="auto" w:fill="EEEEEE"/>
        <w:spacing w:after="0" w:line="240" w:lineRule="auto"/>
        <w:jc w:val="both"/>
        <w:rPr>
          <w:rFonts w:ascii="Georgia" w:eastAsia="Times New Roman" w:hAnsi="Georgia" w:cs="Times New Roman"/>
          <w:b/>
          <w:color w:val="000000"/>
          <w:sz w:val="32"/>
          <w:szCs w:val="32"/>
          <w:lang w:val="el-GR"/>
        </w:rPr>
      </w:pPr>
      <w:r>
        <w:rPr>
          <w:rFonts w:ascii="Georgia" w:eastAsia="Times New Roman" w:hAnsi="Georgia" w:cs="Times New Roman"/>
          <w:b/>
          <w:color w:val="000000"/>
          <w:sz w:val="32"/>
          <w:szCs w:val="32"/>
          <w:lang w:val="el-GR"/>
        </w:rPr>
        <w:t>Δ.Εγκλιτική αντικατάσταση(οριστική –υποτακτική-ευκτική –απαρέμφατο –μετοχή)</w:t>
      </w:r>
    </w:p>
    <w:p w:rsidR="00EF4D8B" w:rsidRPr="00EF4D8B" w:rsidRDefault="00EF4D8B" w:rsidP="00EF4D8B">
      <w:pPr>
        <w:pStyle w:val="ListParagraph"/>
        <w:numPr>
          <w:ilvl w:val="0"/>
          <w:numId w:val="2"/>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Λέγεται</w:t>
      </w:r>
    </w:p>
    <w:p w:rsidR="00EF4D8B" w:rsidRPr="00EF4D8B" w:rsidRDefault="00EF4D8B" w:rsidP="00EF4D8B">
      <w:pPr>
        <w:pStyle w:val="ListParagraph"/>
        <w:numPr>
          <w:ilvl w:val="0"/>
          <w:numId w:val="2"/>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Έχει</w:t>
      </w:r>
    </w:p>
    <w:p w:rsidR="00EF4D8B" w:rsidRPr="00EF4D8B" w:rsidRDefault="00EF4D8B" w:rsidP="00EF4D8B">
      <w:pPr>
        <w:pStyle w:val="ListParagraph"/>
        <w:numPr>
          <w:ilvl w:val="0"/>
          <w:numId w:val="2"/>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Έπαθε</w:t>
      </w:r>
    </w:p>
    <w:p w:rsidR="00EF4D8B" w:rsidRDefault="00EF4D8B" w:rsidP="00EF4D8B">
      <w:pPr>
        <w:pStyle w:val="ListParagraph"/>
        <w:numPr>
          <w:ilvl w:val="0"/>
          <w:numId w:val="2"/>
        </w:numPr>
        <w:shd w:val="clear" w:color="auto" w:fill="EEEEEE"/>
        <w:spacing w:after="0" w:line="240" w:lineRule="auto"/>
        <w:jc w:val="both"/>
        <w:rPr>
          <w:rFonts w:ascii="Georgia" w:eastAsia="Times New Roman" w:hAnsi="Georgia" w:cs="Times New Roman"/>
          <w:color w:val="000000"/>
          <w:sz w:val="32"/>
          <w:szCs w:val="32"/>
          <w:lang w:val="el-GR"/>
        </w:rPr>
      </w:pPr>
      <w:r w:rsidRPr="00EF4D8B">
        <w:rPr>
          <w:rFonts w:ascii="Georgia" w:eastAsia="Times New Roman" w:hAnsi="Georgia" w:cs="Times New Roman"/>
          <w:color w:val="000000"/>
          <w:sz w:val="32"/>
          <w:szCs w:val="32"/>
          <w:lang w:val="el-GR"/>
        </w:rPr>
        <w:t>Ελάβομεν</w:t>
      </w:r>
    </w:p>
    <w:p w:rsidR="00EF4D8B" w:rsidRDefault="00EF4D8B" w:rsidP="00EF4D8B">
      <w:p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Ε.Παραθετικά</w:t>
      </w:r>
    </w:p>
    <w:p w:rsidR="00EF4D8B" w:rsidRDefault="00221117" w:rsidP="00221117">
      <w:pPr>
        <w:pStyle w:val="ListParagraph"/>
        <w:numPr>
          <w:ilvl w:val="0"/>
          <w:numId w:val="3"/>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Τοις νεωτέροις</w:t>
      </w:r>
    </w:p>
    <w:p w:rsidR="00221117" w:rsidRDefault="00221117" w:rsidP="00221117">
      <w:pPr>
        <w:pStyle w:val="ListParagraph"/>
        <w:numPr>
          <w:ilvl w:val="0"/>
          <w:numId w:val="3"/>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Των ευσεβεστέρων</w:t>
      </w:r>
    </w:p>
    <w:p w:rsidR="00221117" w:rsidRDefault="00221117" w:rsidP="00221117">
      <w:pPr>
        <w:pStyle w:val="ListParagraph"/>
        <w:numPr>
          <w:ilvl w:val="0"/>
          <w:numId w:val="3"/>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Τον πρεσβύτερον</w:t>
      </w:r>
    </w:p>
    <w:p w:rsidR="00221117" w:rsidRDefault="00221117" w:rsidP="00221117">
      <w:pPr>
        <w:pStyle w:val="ListParagraph"/>
        <w:numPr>
          <w:ilvl w:val="0"/>
          <w:numId w:val="3"/>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Τοις αρίστοις</w:t>
      </w:r>
    </w:p>
    <w:p w:rsidR="00221117" w:rsidRDefault="00221117" w:rsidP="00221117">
      <w:pPr>
        <w:pStyle w:val="ListParagraph"/>
        <w:numPr>
          <w:ilvl w:val="0"/>
          <w:numId w:val="3"/>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Τούς μείζονας</w:t>
      </w:r>
    </w:p>
    <w:p w:rsidR="00221117" w:rsidRDefault="00221117" w:rsidP="00221117">
      <w:pPr>
        <w:pStyle w:val="ListParagraph"/>
        <w:numPr>
          <w:ilvl w:val="0"/>
          <w:numId w:val="3"/>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 xml:space="preserve"> Την ταχείαν</w:t>
      </w:r>
    </w:p>
    <w:p w:rsidR="00221117" w:rsidRDefault="00221117" w:rsidP="00221117">
      <w:p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ΣΤ.Άλλος  αριθμός</w:t>
      </w:r>
    </w:p>
    <w:p w:rsidR="00221117" w:rsidRDefault="00221117" w:rsidP="00221117">
      <w:pPr>
        <w:pStyle w:val="ListParagraph"/>
        <w:numPr>
          <w:ilvl w:val="0"/>
          <w:numId w:val="4"/>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Άπασι τοις νεωτέροις</w:t>
      </w:r>
    </w:p>
    <w:p w:rsidR="00221117" w:rsidRDefault="00221117" w:rsidP="00221117">
      <w:pPr>
        <w:pStyle w:val="ListParagraph"/>
        <w:numPr>
          <w:ilvl w:val="0"/>
          <w:numId w:val="4"/>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Τόν πατέρα πρεσβύτερον</w:t>
      </w:r>
    </w:p>
    <w:p w:rsidR="00221117" w:rsidRDefault="00221117" w:rsidP="00221117">
      <w:pPr>
        <w:pStyle w:val="ListParagraph"/>
        <w:numPr>
          <w:ilvl w:val="0"/>
          <w:numId w:val="4"/>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Τοις ανδράσιν τοις αγαθοίς</w:t>
      </w:r>
    </w:p>
    <w:p w:rsidR="00221117" w:rsidRDefault="00221117" w:rsidP="00221117">
      <w:pPr>
        <w:pStyle w:val="ListParagraph"/>
        <w:numPr>
          <w:ilvl w:val="0"/>
          <w:numId w:val="4"/>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lastRenderedPageBreak/>
        <w:t>Μήτερ και πάτερ</w:t>
      </w:r>
    </w:p>
    <w:p w:rsidR="00221117" w:rsidRDefault="00221117" w:rsidP="00221117">
      <w:pPr>
        <w:pStyle w:val="ListParagraph"/>
        <w:numPr>
          <w:ilvl w:val="0"/>
          <w:numId w:val="4"/>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Παιδί και γυναικί</w:t>
      </w:r>
    </w:p>
    <w:p w:rsidR="00221117" w:rsidRDefault="00221117" w:rsidP="00221117">
      <w:pPr>
        <w:pStyle w:val="ListParagraph"/>
        <w:numPr>
          <w:ilvl w:val="0"/>
          <w:numId w:val="4"/>
        </w:num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Ταχείαν την αποχώρησιν</w:t>
      </w:r>
    </w:p>
    <w:p w:rsidR="00221117" w:rsidRPr="00221117" w:rsidRDefault="00221117" w:rsidP="00221117">
      <w:pPr>
        <w:shd w:val="clear" w:color="auto" w:fill="EEEEEE"/>
        <w:spacing w:after="0" w:line="240" w:lineRule="auto"/>
        <w:jc w:val="both"/>
        <w:rPr>
          <w:rFonts w:ascii="Georgia" w:eastAsia="Times New Roman" w:hAnsi="Georgia" w:cs="Times New Roman"/>
          <w:color w:val="000000"/>
          <w:sz w:val="32"/>
          <w:szCs w:val="32"/>
          <w:lang w:val="el-GR"/>
        </w:rPr>
      </w:pPr>
    </w:p>
    <w:p w:rsidR="00EF4D8B" w:rsidRDefault="00221117" w:rsidP="00EF4D8B">
      <w:pPr>
        <w:pStyle w:val="ListParagraph"/>
        <w:shd w:val="clear" w:color="auto" w:fill="EEEEEE"/>
        <w:spacing w:after="0" w:line="240" w:lineRule="auto"/>
        <w:jc w:val="both"/>
        <w:rPr>
          <w:rFonts w:ascii="Georgia" w:eastAsia="Times New Roman" w:hAnsi="Georgia" w:cs="Times New Roman"/>
          <w:b/>
          <w:color w:val="000000"/>
          <w:sz w:val="32"/>
          <w:szCs w:val="32"/>
          <w:lang w:val="el-GR"/>
        </w:rPr>
      </w:pPr>
      <w:r>
        <w:rPr>
          <w:rFonts w:ascii="Georgia" w:eastAsia="Times New Roman" w:hAnsi="Georgia" w:cs="Times New Roman"/>
          <w:b/>
          <w:color w:val="000000"/>
          <w:sz w:val="32"/>
          <w:szCs w:val="32"/>
          <w:lang w:val="el-GR"/>
        </w:rPr>
        <w:t>Ζ.Συνθετικά</w:t>
      </w:r>
    </w:p>
    <w:p w:rsidR="00221117" w:rsidRPr="00221117" w:rsidRDefault="00221117" w:rsidP="00221117">
      <w:pPr>
        <w:pStyle w:val="ListParagraph"/>
        <w:numPr>
          <w:ilvl w:val="0"/>
          <w:numId w:val="5"/>
        </w:numPr>
        <w:shd w:val="clear" w:color="auto" w:fill="EEEEEE"/>
        <w:spacing w:after="0" w:line="240" w:lineRule="auto"/>
        <w:jc w:val="both"/>
        <w:rPr>
          <w:rFonts w:ascii="Georgia" w:eastAsia="Times New Roman" w:hAnsi="Georgia" w:cs="Times New Roman"/>
          <w:color w:val="000000"/>
          <w:sz w:val="32"/>
          <w:szCs w:val="32"/>
          <w:lang w:val="el-GR"/>
        </w:rPr>
      </w:pPr>
      <w:r w:rsidRPr="00221117">
        <w:rPr>
          <w:rFonts w:ascii="Georgia" w:eastAsia="Times New Roman" w:hAnsi="Georgia" w:cs="Times New Roman"/>
          <w:color w:val="000000"/>
          <w:sz w:val="32"/>
          <w:szCs w:val="32"/>
          <w:lang w:val="el-GR"/>
        </w:rPr>
        <w:t xml:space="preserve">Κατοικουμένων </w:t>
      </w:r>
    </w:p>
    <w:p w:rsidR="00221117" w:rsidRPr="00221117" w:rsidRDefault="00221117" w:rsidP="00221117">
      <w:pPr>
        <w:pStyle w:val="ListParagraph"/>
        <w:numPr>
          <w:ilvl w:val="0"/>
          <w:numId w:val="5"/>
        </w:numPr>
        <w:shd w:val="clear" w:color="auto" w:fill="EEEEEE"/>
        <w:spacing w:after="0" w:line="240" w:lineRule="auto"/>
        <w:jc w:val="both"/>
        <w:rPr>
          <w:rFonts w:ascii="Georgia" w:eastAsia="Times New Roman" w:hAnsi="Georgia" w:cs="Times New Roman"/>
          <w:color w:val="000000"/>
          <w:sz w:val="32"/>
          <w:szCs w:val="32"/>
          <w:lang w:val="el-GR"/>
        </w:rPr>
      </w:pPr>
      <w:r w:rsidRPr="00221117">
        <w:rPr>
          <w:rFonts w:ascii="Georgia" w:eastAsia="Times New Roman" w:hAnsi="Georgia" w:cs="Times New Roman"/>
          <w:color w:val="000000"/>
          <w:sz w:val="32"/>
          <w:szCs w:val="32"/>
          <w:lang w:val="el-GR"/>
        </w:rPr>
        <w:t>Αποιχωρείν</w:t>
      </w:r>
    </w:p>
    <w:p w:rsidR="00221117" w:rsidRPr="00221117" w:rsidRDefault="00221117" w:rsidP="00221117">
      <w:pPr>
        <w:pStyle w:val="ListParagraph"/>
        <w:numPr>
          <w:ilvl w:val="0"/>
          <w:numId w:val="5"/>
        </w:numPr>
        <w:shd w:val="clear" w:color="auto" w:fill="EEEEEE"/>
        <w:spacing w:after="0" w:line="240" w:lineRule="auto"/>
        <w:jc w:val="both"/>
        <w:rPr>
          <w:rFonts w:ascii="Georgia" w:eastAsia="Times New Roman" w:hAnsi="Georgia" w:cs="Times New Roman"/>
          <w:color w:val="000000"/>
          <w:sz w:val="32"/>
          <w:szCs w:val="32"/>
          <w:lang w:val="el-GR"/>
        </w:rPr>
      </w:pPr>
      <w:r w:rsidRPr="00221117">
        <w:rPr>
          <w:rFonts w:ascii="Georgia" w:eastAsia="Times New Roman" w:hAnsi="Georgia" w:cs="Times New Roman"/>
          <w:color w:val="000000"/>
          <w:sz w:val="32"/>
          <w:szCs w:val="32"/>
          <w:lang w:val="el-GR"/>
        </w:rPr>
        <w:t xml:space="preserve">Κατα΄παμβανόμενον </w:t>
      </w:r>
    </w:p>
    <w:p w:rsidR="00221117" w:rsidRPr="00221117" w:rsidRDefault="00221117" w:rsidP="00221117">
      <w:pPr>
        <w:pStyle w:val="ListParagraph"/>
        <w:numPr>
          <w:ilvl w:val="0"/>
          <w:numId w:val="5"/>
        </w:numPr>
        <w:shd w:val="clear" w:color="auto" w:fill="EEEEEE"/>
        <w:spacing w:after="0" w:line="240" w:lineRule="auto"/>
        <w:jc w:val="both"/>
        <w:rPr>
          <w:rFonts w:ascii="Georgia" w:eastAsia="Times New Roman" w:hAnsi="Georgia" w:cs="Times New Roman"/>
          <w:color w:val="000000"/>
          <w:sz w:val="32"/>
          <w:szCs w:val="32"/>
          <w:lang w:val="el-GR"/>
        </w:rPr>
      </w:pPr>
      <w:r w:rsidRPr="00221117">
        <w:rPr>
          <w:rFonts w:ascii="Georgia" w:eastAsia="Times New Roman" w:hAnsi="Georgia" w:cs="Times New Roman"/>
          <w:color w:val="000000"/>
          <w:sz w:val="32"/>
          <w:szCs w:val="32"/>
          <w:lang w:val="el-GR"/>
        </w:rPr>
        <w:t>Προσγενομένου</w:t>
      </w:r>
    </w:p>
    <w:p w:rsidR="00221117" w:rsidRPr="00221117" w:rsidRDefault="00221117" w:rsidP="00221117">
      <w:pPr>
        <w:pStyle w:val="ListParagraph"/>
        <w:numPr>
          <w:ilvl w:val="0"/>
          <w:numId w:val="5"/>
        </w:numPr>
        <w:shd w:val="clear" w:color="auto" w:fill="EEEEEE"/>
        <w:spacing w:after="0" w:line="240" w:lineRule="auto"/>
        <w:jc w:val="both"/>
        <w:rPr>
          <w:rFonts w:ascii="Georgia" w:eastAsia="Times New Roman" w:hAnsi="Georgia" w:cs="Times New Roman"/>
          <w:color w:val="000000"/>
          <w:sz w:val="32"/>
          <w:szCs w:val="32"/>
          <w:lang w:val="el-GR"/>
        </w:rPr>
      </w:pPr>
      <w:r w:rsidRPr="00221117">
        <w:rPr>
          <w:rFonts w:ascii="Georgia" w:eastAsia="Times New Roman" w:hAnsi="Georgia" w:cs="Times New Roman"/>
          <w:color w:val="000000"/>
          <w:sz w:val="32"/>
          <w:szCs w:val="32"/>
          <w:lang w:val="el-GR"/>
        </w:rPr>
        <w:t>Περιρρυήναι</w:t>
      </w:r>
    </w:p>
    <w:p w:rsidR="00221117" w:rsidRPr="00221117" w:rsidRDefault="00221117" w:rsidP="00221117">
      <w:pPr>
        <w:pStyle w:val="ListParagraph"/>
        <w:numPr>
          <w:ilvl w:val="0"/>
          <w:numId w:val="5"/>
        </w:numPr>
        <w:shd w:val="clear" w:color="auto" w:fill="EEEEEE"/>
        <w:spacing w:after="0" w:line="240" w:lineRule="auto"/>
        <w:jc w:val="both"/>
        <w:rPr>
          <w:rFonts w:ascii="Georgia" w:eastAsia="Times New Roman" w:hAnsi="Georgia" w:cs="Times New Roman"/>
          <w:color w:val="000000"/>
          <w:sz w:val="32"/>
          <w:szCs w:val="32"/>
          <w:lang w:val="el-GR"/>
        </w:rPr>
      </w:pPr>
      <w:r w:rsidRPr="00221117">
        <w:rPr>
          <w:rFonts w:ascii="Georgia" w:eastAsia="Times New Roman" w:hAnsi="Georgia" w:cs="Times New Roman"/>
          <w:color w:val="000000"/>
          <w:sz w:val="32"/>
          <w:szCs w:val="32"/>
          <w:lang w:val="el-GR"/>
        </w:rPr>
        <w:t>αποχώρησιν</w:t>
      </w:r>
    </w:p>
    <w:sectPr w:rsidR="00221117" w:rsidRPr="00221117" w:rsidSect="00035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2297"/>
    <w:multiLevelType w:val="hybridMultilevel"/>
    <w:tmpl w:val="58A656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C14F39"/>
    <w:multiLevelType w:val="hybridMultilevel"/>
    <w:tmpl w:val="04A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B1D76"/>
    <w:multiLevelType w:val="hybridMultilevel"/>
    <w:tmpl w:val="C2CC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32E60"/>
    <w:multiLevelType w:val="hybridMultilevel"/>
    <w:tmpl w:val="C8DC3C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3776D4"/>
    <w:multiLevelType w:val="hybridMultilevel"/>
    <w:tmpl w:val="D8BA1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B7A"/>
    <w:rsid w:val="00035D3B"/>
    <w:rsid w:val="00221117"/>
    <w:rsid w:val="00EF4D8B"/>
    <w:rsid w:val="00FD3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5x">
    <w:name w:val="ca15x"/>
    <w:basedOn w:val="Normal"/>
    <w:rsid w:val="00FD3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
    <w:name w:val="ca15"/>
    <w:basedOn w:val="Normal"/>
    <w:rsid w:val="00FD3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j">
    <w:name w:val="ca15j"/>
    <w:basedOn w:val="Normal"/>
    <w:rsid w:val="00FD3B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7A"/>
    <w:rPr>
      <w:rFonts w:ascii="Tahoma" w:hAnsi="Tahoma" w:cs="Tahoma"/>
      <w:sz w:val="16"/>
      <w:szCs w:val="16"/>
    </w:rPr>
  </w:style>
  <w:style w:type="paragraph" w:styleId="ListParagraph">
    <w:name w:val="List Paragraph"/>
    <w:basedOn w:val="Normal"/>
    <w:uiPriority w:val="34"/>
    <w:qFormat/>
    <w:rsid w:val="00EF4D8B"/>
    <w:pPr>
      <w:ind w:left="720"/>
      <w:contextualSpacing/>
    </w:pPr>
  </w:style>
</w:styles>
</file>

<file path=word/webSettings.xml><?xml version="1.0" encoding="utf-8"?>
<w:webSettings xmlns:r="http://schemas.openxmlformats.org/officeDocument/2006/relationships" xmlns:w="http://schemas.openxmlformats.org/wordprocessingml/2006/main">
  <w:divs>
    <w:div w:id="1257519112">
      <w:bodyDiv w:val="1"/>
      <w:marLeft w:val="0"/>
      <w:marRight w:val="0"/>
      <w:marTop w:val="0"/>
      <w:marBottom w:val="0"/>
      <w:divBdr>
        <w:top w:val="none" w:sz="0" w:space="0" w:color="auto"/>
        <w:left w:val="none" w:sz="0" w:space="0" w:color="auto"/>
        <w:bottom w:val="none" w:sz="0" w:space="0" w:color="auto"/>
        <w:right w:val="none" w:sz="0" w:space="0" w:color="auto"/>
      </w:divBdr>
    </w:div>
    <w:div w:id="17762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sers.sch.gr/ipap/Ellinikos%20Politismos/Yliko/MetafraseisC/08.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2025-06-12T16:36:00Z</dcterms:created>
  <dcterms:modified xsi:type="dcterms:W3CDTF">2025-06-12T16:59:00Z</dcterms:modified>
</cp:coreProperties>
</file>