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Ενότητα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13η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(Α 2, 10 - 13) </w:t>
      </w:r>
    </w:p>
    <w:p w:rsidR="00262F00" w:rsidRPr="00262F00" w:rsidRDefault="00262F00" w:rsidP="00EC5D5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Ο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ανθρώπινος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λόγος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η πιο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μεγάλη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απόδειξη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ο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τη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φύση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ζῷον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πολιτικόν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Προτεινόμενοι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στόχοι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μαθητές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•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περιεχόμενο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έννοιας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λόγος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αντιδιαστολή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προς τη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φωνή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ζώων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σημασία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έχει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απόδειξη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θέσης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ζῷον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πολιτικόν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,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«στην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τάξη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φύσης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» 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προηγείται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οικογένεια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τον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καθένα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μας ως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άτομο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r w:rsidRPr="00262F00">
        <w:rPr>
          <w:rFonts w:ascii="Times New Roman" w:eastAsia="Mg Old Times UC Pol Bold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πρότερον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δὲ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τῇ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φύσει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πόλις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ἢ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οἰκία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καὶ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ἕκαστος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ἡ</w:t>
      </w:r>
      <w:r w:rsidRPr="00262F00">
        <w:rPr>
          <w:rFonts w:ascii="Times New Roman" w:eastAsia="Mg Old Times UC Pol Bold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ῶν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ἐστιν</w:t>
      </w:r>
      <w:proofErr w:type="spellEnd"/>
      <w:r w:rsidRPr="00262F00">
        <w:rPr>
          <w:rFonts w:ascii="Times New Roman" w:eastAsia="Mg Old Times UC Pol Bold" w:hAnsi="Times New Roman" w:cs="Times New Roman"/>
          <w:i/>
          <w:iCs/>
          <w:color w:val="000000"/>
          <w:sz w:val="24"/>
          <w:szCs w:val="24"/>
        </w:rPr>
        <w:t xml:space="preserve">),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προηγείται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όλον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μέρη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της, τους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ανθρώπους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, για τους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οποίους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αποτελεί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φυσικό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χώρο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Επισημάνσεις</w:t>
      </w:r>
      <w:proofErr w:type="spellEnd"/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 «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λόγος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» σε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αντιδιαστολή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προς τη «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φωνή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» των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ζώων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δηλώνει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συμφέρον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βλαβερό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,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δίκαιο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άδικο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. 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επικοινωνία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ως προς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δίκαιο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άδικο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(η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σύλληψη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έκφραση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ηθικών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εννοιών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δημιουργεί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οικία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. 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λόγος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δεν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μπορεί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νοηθεί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εκτός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κοινωνίας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μαθαίνει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χρησιμοποιεί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ηθικό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γλωσσικό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κώδικα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κοινότητας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μέσα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οποία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ζει.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Μπορούμε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πούμε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φωνή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αναγκαία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για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ζῆν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ενώ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λόγος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για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εὖ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ζῆν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position w:val="10"/>
          <w:sz w:val="24"/>
          <w:szCs w:val="24"/>
          <w:vertAlign w:val="superscript"/>
        </w:rPr>
        <w:t>8</w:t>
      </w: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θέση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για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ύπαρξη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πόλεως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φύσει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ενότητα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12)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επανέρχεται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πρόταση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πρότερον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τῇ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φύσει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πόλις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ἢ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οἰκία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καὶ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ἕκαστος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ἡ</w:t>
      </w:r>
      <w:r w:rsidRPr="00262F00">
        <w:rPr>
          <w:rFonts w:ascii="Times New Roman" w:eastAsia="Mg Old Times UC Pol Bold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ῶν</w:t>
      </w:r>
      <w:proofErr w:type="spellEnd"/>
      <w:r w:rsidRPr="00262F00">
        <w:rPr>
          <w:rFonts w:ascii="Times New Roman" w:eastAsia="Mg Old Times UC Pol Bold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που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εξηγεί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προτεραιότητα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οργανικού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όλου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μέρη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 και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συγκεκριμενοποιεί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με τη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σχέση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σώματος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με τα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μέλη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του. </w:t>
      </w:r>
    </w:p>
    <w:p w:rsidR="00262F00" w:rsidRPr="00EC5D54" w:rsidRDefault="00262F00" w:rsidP="00EC5D54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Bold" w:hAnsi="Times New Roman" w:cs="Times New Roman"/>
          <w:color w:val="000000"/>
          <w:sz w:val="20"/>
          <w:szCs w:val="20"/>
        </w:rPr>
      </w:pPr>
      <w:r w:rsidRPr="00EC5D54">
        <w:rPr>
          <w:rFonts w:ascii="Times New Roman" w:eastAsia="Mg Old Times UC Pol Bold" w:hAnsi="Times New Roman" w:cs="Times New Roman"/>
          <w:color w:val="000000"/>
          <w:position w:val="10"/>
          <w:sz w:val="20"/>
          <w:szCs w:val="20"/>
          <w:vertAlign w:val="superscript"/>
        </w:rPr>
        <w:t xml:space="preserve">8 </w:t>
      </w:r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Βλ.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Fr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Wolff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σσ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92 - 97. </w:t>
      </w:r>
    </w:p>
    <w:p w:rsidR="00627F04" w:rsidRPr="00262F00" w:rsidRDefault="00262F00" w:rsidP="00EC5D54">
      <w:pPr>
        <w:spacing w:line="240" w:lineRule="auto"/>
        <w:contextualSpacing/>
        <w:jc w:val="both"/>
        <w:rPr>
          <w:rFonts w:ascii="Times New Roman" w:eastAsia="Mg Old Times UC Pol Bold" w:hAnsi="Times New Roman" w:cs="Times New Roman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sz w:val="24"/>
          <w:szCs w:val="24"/>
        </w:rPr>
        <w:t>70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προτεραιότητα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αυτή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λογική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αφού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μέλη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ενός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οργανισμού</w:t>
      </w:r>
      <w:proofErr w:type="spellEnd"/>
      <w:r w:rsidRPr="00262F00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9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ορίζονται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έργο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επιτελούν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για 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λειτουργία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οργανισμού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Έτσι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μέρος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δεν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νοηθεί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χωρίς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ύπαρξη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όλου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(π.χ.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χέρι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χωρίς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σώμα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) με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έννοια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δεν θα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επιτελεί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«έργον» του και δεν θα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έχει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ιδιότητες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είχε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πριν, δεν θα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ικανοποιεί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δηλαδή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κριτήρια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με τα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οποία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κρίνουμε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ἔργῳ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δυνά</w:t>
      </w:r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ει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Ανάλογη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σχέση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ανθρώπου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Αν 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αποχωριστεί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όλον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πόλις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δεν θα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Τέλος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κανείς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αναφερθεί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πιο αναλυτικά στην τελεολογική σκέψη του Αριστοτέλη, στη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χρήση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αναλογίας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, στην πορεία σκέψης που ακολουθεί π.χ. μέσα από ζεύγη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αντίθετων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εννοιών που βαίνουν κλιμακωτά κτλ.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Ερμηνευτικές ερωτήσεις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1. Ο Αριστοτέλης αναγνωρίζει και σε ορισμένα ζώα την ιδιότητα του πολιτικού (= κοινωνικού) αλλά όχι με την ίδια έννοια που δίνει στον όρο για τον άνθρωπο. Ποιο περιεχόμενο έχει η έννοια όταν αναφέρεται στα ζώα και ποιο όταν αναφέρεται στον άνθρωπο; Ποια είναι η ειδοποιός διαφορά του ανθρώπου από τα αγελαία ζώα;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2. Ο Αριστοτέλης υποστηρίζει ότι η φύση δεν κάνει τίποτε χωρίς λόγο και αιτία. Γιατί λοιπόν α) προίκισε τα ζώα με φωνή, β) έδωσε στον άνθρωπο την ικανότητα του λόγου</w:t>
      </w:r>
      <w:r w:rsidRPr="00262F00">
        <w:rPr>
          <w:rFonts w:ascii="Times New Roman" w:eastAsia="Mg Old Times UC Pol Bold" w:hAnsi="Times New Roman" w:cs="Times New Roman"/>
          <w:color w:val="000000"/>
          <w:position w:val="10"/>
          <w:sz w:val="24"/>
          <w:szCs w:val="24"/>
          <w:vertAlign w:val="superscript"/>
        </w:rPr>
        <w:t>10</w:t>
      </w: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;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3. Να εντοπίσετε και να καταγράψετε τα αντιθετικά ζεύγη των εννοιών που χρησιμοποιεί ο Αριστοτέλης στο κείμενο και με βάση αυτά να εξηγήσετε ποια είναι η ειδοποιός διαφορά του «λόγου» από τη «φωνή».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4. «Η συμμετοχή σε όλα αυτά είναι που κάνει την οικογένεια και την πόλη»: Να συσχετίσετε τη θέση του Αριστοτέλη με το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νόμο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>Δία</w:t>
      </w:r>
      <w:proofErr w:type="spellEnd"/>
      <w:r w:rsidRPr="00262F00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 στο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</w:p>
    <w:p w:rsidR="00262F00" w:rsidRPr="00EC5D54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0"/>
          <w:szCs w:val="20"/>
        </w:rPr>
      </w:pPr>
      <w:r w:rsidRPr="00EC5D54">
        <w:rPr>
          <w:rFonts w:ascii="Times New Roman" w:eastAsia="Mg Old Times UC Pol Bold" w:hAnsi="Times New Roman" w:cs="Times New Roman"/>
          <w:color w:val="000000"/>
          <w:position w:val="8"/>
          <w:sz w:val="20"/>
          <w:szCs w:val="20"/>
          <w:vertAlign w:val="superscript"/>
        </w:rPr>
        <w:t xml:space="preserve">9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Πολλοί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ερευνητές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κατατάσσουν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τον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Αριστοτέλη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στους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εκπροσώπους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οργανικής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αντιλήψεως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περί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πολιτείας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αλλά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αυτό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δεν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σημαίνει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ότι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πολιτική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σκέψη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μπορεί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ερμηνευθεί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μόνο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με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βάση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το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συγκεκριμένο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σχήμα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Βλ. για το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lastRenderedPageBreak/>
        <w:t>θέμα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αυτό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καθώς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για τη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φύσει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ύπαρξη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πόλης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και τα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όρια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αναλογίας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σώματος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πόλης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: Κ.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Βουδούρης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σσ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31 κ.ε., και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Fr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Wolff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σσ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97 - 99. </w:t>
      </w:r>
    </w:p>
    <w:p w:rsidR="00262F00" w:rsidRPr="00EC5D54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0"/>
          <w:szCs w:val="20"/>
        </w:rPr>
      </w:pPr>
      <w:r w:rsidRPr="00EC5D54">
        <w:rPr>
          <w:rFonts w:ascii="Times New Roman" w:eastAsia="Mg Old Times UC Pol Bold" w:hAnsi="Times New Roman" w:cs="Times New Roman"/>
          <w:color w:val="000000"/>
          <w:position w:val="8"/>
          <w:sz w:val="20"/>
          <w:szCs w:val="20"/>
          <w:vertAlign w:val="superscript"/>
        </w:rPr>
        <w:t xml:space="preserve">10 </w:t>
      </w:r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Βλ.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Βιβλίο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Καθηγητή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σσ</w:t>
      </w:r>
      <w:proofErr w:type="spellEnd"/>
      <w:r w:rsidRPr="00EC5D54">
        <w:rPr>
          <w:rFonts w:ascii="Times New Roman" w:eastAsia="Mg Old Times UC Pol Bold" w:hAnsi="Times New Roman" w:cs="Times New Roman"/>
          <w:color w:val="000000"/>
          <w:sz w:val="20"/>
          <w:szCs w:val="20"/>
        </w:rPr>
        <w:t xml:space="preserve">. 46 - 47. </w:t>
      </w:r>
    </w:p>
    <w:p w:rsidR="00262F00" w:rsidRPr="00262F00" w:rsidRDefault="00262F00" w:rsidP="00EC5D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F00">
        <w:rPr>
          <w:rFonts w:ascii="Times New Roman" w:hAnsi="Times New Roman" w:cs="Times New Roman"/>
          <w:sz w:val="24"/>
          <w:szCs w:val="24"/>
        </w:rPr>
        <w:t>71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μύθο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Πρωταγόρα </w:t>
      </w:r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τὸν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ὴ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δυνά</w:t>
      </w:r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ενον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αἰδοῦς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καὶ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δίκης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ετέχειν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κτείνειν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ὡς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νόσον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πόλεως</w:t>
      </w:r>
      <w:proofErr w:type="spellEnd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εξήγηση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σοφιστή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ὡς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παντὶ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προσῆκον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ταύτης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γε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ετέχειν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τῆς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ἀρετῆς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(=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πολιτικῆς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ἀρετῆς</w:t>
      </w:r>
      <w:proofErr w:type="spellEnd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ἢ </w:t>
      </w:r>
      <w:proofErr w:type="spellStart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ὴ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εἶναι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πόλεις</w:t>
      </w:r>
      <w:proofErr w:type="spellEnd"/>
      <w:r w:rsidRPr="0026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 w:rsidRPr="00262F0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σχολ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σ. 80) και με 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θέση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Ηράκλειτου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σχολ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σ. 101).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5. «Ώρα όμως να προσθέσουμε …» : Ποια είναι η θέση της πρότασης στη δομή της επιχειρηματολογίας του Αριστοτέλη;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6. Με ποια επιχειρήματα αποδεικνύει ο Αριστοτέλης α) ότι η πόλη ήρθε στην ύπαρξη «εκ φύσεως» και β) ότι προηγείται από κάθε επιμέρους άτομο;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7. Να εντοπίσετε τα σημεία στα οποία φαίνεται η τελεολογική σκέψη του Αριστοτέλη και να τα εξηγήσετε με λίγα λόγια.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8. Πώς αντιλαμβάνεσθε τη θέση του Αριστοτέλη ότι η πόλη προηγείται από την οικογένεια και από τον καθένα μας ως άτομο; Συμφωνείτε με τη θέση αυτή;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9.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συσχετίσετε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 θέση του Αριστοτέλη για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ύπαρξη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«εκ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φύσεως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» με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όσα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υποστηρίζει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Γλαύκων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Πολιτεία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σχολ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σ. 104).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Αφού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διαβάσετε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άποψη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Περικλή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για 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σχέση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πολίτη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πόλης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(στο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σας, σ. 123 -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Θουκ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ΙΙ, 60), να 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συσχετίσετε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υποχρέωση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αναθέτει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Πλάτων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στους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φύλακες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Πολιτείας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(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αλληγορία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σπηλαίου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σχολ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σ. 121) και με τις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αντιλήψεις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για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ίδιο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θέμα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. Στη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συσχέτιση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λάβετε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υπόψη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σας τη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χρονική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απόσταση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κειμένων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μεταξύ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τους.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11. «Ο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άνθρωπος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που δεν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να ζει με τους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άλλους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... ή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ζώο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ή θεός»: Να αναλύσετε τις θέσεις που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διατυπώνονται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χωρίο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αυτό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, προσθέτοντας δικά σας επιχειρήματα (μπορεί να είναι και παραδείγματα από την εμπειρία σας ή από την ιστορία).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ind w:left="28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12. Να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δώσετε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περιεχόμενο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έννοιας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αὐτάρκειας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στον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βάση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262F00">
        <w:rPr>
          <w:rFonts w:ascii="Times New Roman" w:hAnsi="Times New Roman" w:cs="Times New Roman"/>
          <w:color w:val="000000"/>
          <w:sz w:val="24"/>
          <w:szCs w:val="24"/>
        </w:rPr>
        <w:t>ενότητες</w:t>
      </w:r>
      <w:proofErr w:type="spellEnd"/>
      <w:r w:rsidRPr="00262F00">
        <w:rPr>
          <w:rFonts w:ascii="Times New Roman" w:hAnsi="Times New Roman" w:cs="Times New Roman"/>
          <w:color w:val="000000"/>
          <w:sz w:val="24"/>
          <w:szCs w:val="24"/>
        </w:rPr>
        <w:t xml:space="preserve"> 12 και 13. </w:t>
      </w:r>
    </w:p>
    <w:p w:rsidR="00262F00" w:rsidRPr="00262F00" w:rsidRDefault="00262F00" w:rsidP="00EC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F00" w:rsidRPr="00262F00" w:rsidRDefault="00262F00" w:rsidP="00EC5D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F00">
        <w:rPr>
          <w:rFonts w:ascii="Times New Roman" w:hAnsi="Times New Roman" w:cs="Times New Roman"/>
          <w:sz w:val="24"/>
          <w:szCs w:val="24"/>
        </w:rPr>
        <w:t>72</w:t>
      </w:r>
    </w:p>
    <w:sectPr w:rsidR="00262F00" w:rsidRPr="00262F00" w:rsidSect="00262F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 Old Times UC Pol 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8" w:csb1="00000000"/>
  </w:font>
  <w:font w:name="Mg Old Times UC Pol Normal">
    <w:altName w:val="Mg Old Times UC Pol Normal"/>
    <w:panose1 w:val="00000000000000000000"/>
    <w:charset w:val="A1"/>
    <w:family w:val="swiss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2F00"/>
    <w:rsid w:val="00262F00"/>
    <w:rsid w:val="00627F04"/>
    <w:rsid w:val="00EC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F00"/>
    <w:pPr>
      <w:autoSpaceDE w:val="0"/>
      <w:autoSpaceDN w:val="0"/>
      <w:adjustRightInd w:val="0"/>
      <w:spacing w:after="0" w:line="240" w:lineRule="auto"/>
    </w:pPr>
    <w:rPr>
      <w:rFonts w:ascii="Mg Old Times UC Pol Bold" w:eastAsia="Mg Old Times UC Pol Bold" w:cs="Mg Old Times UC Pol Bold"/>
      <w:color w:val="000000"/>
      <w:sz w:val="24"/>
      <w:szCs w:val="24"/>
    </w:rPr>
  </w:style>
  <w:style w:type="paragraph" w:customStyle="1" w:styleId="Heading6">
    <w:name w:val="Heading 6"/>
    <w:basedOn w:val="Default"/>
    <w:next w:val="Default"/>
    <w:uiPriority w:val="99"/>
    <w:rsid w:val="00262F00"/>
    <w:rPr>
      <w:rFonts w:cstheme="minorBidi"/>
      <w:color w:val="auto"/>
    </w:rPr>
  </w:style>
  <w:style w:type="paragraph" w:customStyle="1" w:styleId="Heading4">
    <w:name w:val="Heading 4"/>
    <w:basedOn w:val="Default"/>
    <w:next w:val="Default"/>
    <w:uiPriority w:val="99"/>
    <w:rsid w:val="00262F00"/>
    <w:rPr>
      <w:rFonts w:cstheme="minorBidi"/>
      <w:color w:val="auto"/>
    </w:rPr>
  </w:style>
  <w:style w:type="paragraph" w:styleId="a3">
    <w:name w:val="Body Text"/>
    <w:basedOn w:val="Default"/>
    <w:next w:val="Default"/>
    <w:link w:val="Char"/>
    <w:uiPriority w:val="99"/>
    <w:rsid w:val="00262F00"/>
    <w:rPr>
      <w:rFonts w:ascii="Mg Old Times UC Pol Normal" w:eastAsiaTheme="minorEastAsia" w:hAnsi="Mg Old Times UC Pol Normal" w:cstheme="minorBidi"/>
      <w:color w:val="auto"/>
    </w:rPr>
  </w:style>
  <w:style w:type="character" w:customStyle="1" w:styleId="Char">
    <w:name w:val="Σώμα κειμένου Char"/>
    <w:basedOn w:val="a0"/>
    <w:link w:val="a3"/>
    <w:uiPriority w:val="99"/>
    <w:rsid w:val="00262F00"/>
    <w:rPr>
      <w:rFonts w:ascii="Mg Old Times UC Pol Normal" w:hAnsi="Mg Old Times UC Pol Norm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4261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2020-04-12T13:29:00Z</dcterms:created>
  <dcterms:modified xsi:type="dcterms:W3CDTF">2020-04-12T13:34:00Z</dcterms:modified>
</cp:coreProperties>
</file>