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bidi w:val="0"/>
              <w:jc w:val="left"/>
              <w:rPr/>
            </w:pPr>
            <w:r>
              <w:rPr/>
              <w:t>ΕΡΩΤΗΣΕΙΣ ΚΛΕΙΣΤΟΥ ΤΥΠΟΥ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>ΧΡΟΝΟΛΟΓΙΚΗ ΣΕΙΡΑ ΚΑΙ ΑΝΤΙΣΤΟΙΧΙΣΗ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1.  </w:t>
      </w:r>
      <w:r>
        <w:rPr>
          <w:rFonts w:cs="Calibri"/>
          <w:sz w:val="24"/>
          <w:szCs w:val="24"/>
        </w:rPr>
        <w:t>Να τοποθετήσετε τα ακόλουθα ιστορικά γεγονότα στη σωστή χρονολογική σειρά, αρχίζοντας από το αρχαιότερο: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Συνθήκη της Λωζάννης 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β.  Εθνικός Διχασμός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γ.  Συνθήκη του Βουκουρεστίου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δ. Συνθήκη των Βερσαλιών 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ε. Δήλωση του Προέδρου των ΗΠΑ Ουίλσον για την αυτοδιάθεση των λαών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" w:asciiTheme="minorHAnsi" w:cstheme="minorHAnsi" w:hAnsiTheme="minorHAnsi"/>
          <w:b/>
          <w:bCs/>
          <w:color w:val="auto"/>
          <w:szCs w:val="24"/>
          <w:lang w:val="el-GR" w:eastAsia="el-GR"/>
        </w:rPr>
        <w:t xml:space="preserve">2. </w:t>
      </w:r>
      <w:r>
        <w:rPr>
          <w:rFonts w:cs="Calibri" w:ascii="Calibri" w:hAnsi="Calibri"/>
          <w:color w:val="000000"/>
          <w:szCs w:val="24"/>
          <w:lang w:val="el-GR"/>
        </w:rPr>
        <w:t>Να τοποθετήσετε τα ακόλουθα ιστορικά γεγονότα στη σωστή χρονολογική σειρά, αρχίζοντας από το αρχαιότερο: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 xml:space="preserve">α. Συνθήκη Ειρήνης της Λωζάννης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>β. Συνθήκη του Μπρεστ-Λιτόφσκ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>γ. Πρωτόκολλο της Φλωρεντίας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>δ. Είσοδος της Ελλάδας στον Α΄ Παγκόσμιο Πόλεμο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 w:val="24"/>
          <w:szCs w:val="24"/>
          <w:lang w:val="el-GR" w:eastAsia="el-GR"/>
        </w:rPr>
        <w:t>ε. Διάσπαση του ελληνικού μετώπου στη Μ.Ασία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Να τοποθετήσετε τα ακόλουθα ιστορικά γεγονότα στη σωστή χρονολογική σειρά, αρχίζοντας από το </w:t>
      </w:r>
      <w:r>
        <w:rPr>
          <w:rFonts w:cs="Calibri"/>
          <w:color w:val="222222"/>
          <w:sz w:val="24"/>
          <w:szCs w:val="24"/>
          <w:shd w:fill="FFFFFF" w:val="clear"/>
        </w:rPr>
        <w:t>αρχαιότερο και καταλήγοντας στο πιο πρόσφατο</w:t>
      </w:r>
      <w:r>
        <w:rPr>
          <w:sz w:val="24"/>
          <w:szCs w:val="24"/>
        </w:rPr>
        <w:t>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α. Υπογραφή της Συνθήκης των Σεβρών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β. Έναρξη Α΄ Παγκοσμίου Πολέμου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γ. Ίδρυση Εθνικού Καποδιστριακού Πανεπιστημίου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δ. Έναρξη Α΄ Βαλκανικού πολέμου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Normaltextrun"/>
          <w:rFonts w:eastAsia="Times New Roman" w:cs="Segoe UI" w:asciiTheme="minorHAnsi" w:hAnsiTheme="minorHAnsi"/>
          <w:b/>
          <w:color w:val="000009"/>
          <w:sz w:val="24"/>
          <w:szCs w:val="24"/>
          <w:lang w:val="el-GR"/>
        </w:rPr>
        <w:t>ε. Υπογραφή  της Συνθήκης του Μπρεστ-Λιτόφσκ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Calibri" w:ascii="Calibri" w:hAnsi="Calibri"/>
          <w:color w:val="000000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Calibri" w:ascii="Calibri" w:hAnsi="Calibri"/>
          <w:b/>
          <w:bCs/>
          <w:color w:val="000000"/>
          <w:szCs w:val="24"/>
          <w:lang w:val="el-GR"/>
        </w:rPr>
        <w:t xml:space="preserve">4.  </w:t>
      </w:r>
      <w:r>
        <w:rPr>
          <w:rFonts w:cs="Calibri" w:ascii="Calibri" w:hAnsi="Calibri"/>
          <w:color w:val="000000"/>
          <w:szCs w:val="24"/>
          <w:lang w:val="el-GR"/>
        </w:rPr>
        <w:t>Να τοποθετήσετε τα ακόλουθα ιστορικά γεγονότα στη σωστή χρονολογική σειρά, αρχίζοντας από το αρχαιότερο: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>α. Κήρυξη πτώχευσης της χώρας από τον Χ Τρικούπη.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>β. Υπογραφή της Συνθήκης του Βουκουρεστίου.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>γ. Τα «Νοεμβριανά».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>δ. Αποδοχή της αρχής της δεδηλωμένης.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" w:asciiTheme="minorHAnsi" w:cstheme="minorHAnsi" w:hAnsiTheme="minorHAnsi"/>
          <w:bCs/>
          <w:color w:val="auto"/>
          <w:sz w:val="24"/>
          <w:szCs w:val="24"/>
          <w:lang w:val="el-GR" w:eastAsia="el-GR"/>
        </w:rPr>
        <w:t>ε. Έξοδος των Ηνωμένων Πολιτειών της Αμερικής από την ουδετερότητα.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5. </w:t>
      </w:r>
      <w:r>
        <w:rPr>
          <w:rFonts w:cs="Calibri"/>
          <w:sz w:val="24"/>
          <w:szCs w:val="24"/>
        </w:rPr>
        <w:t>Να αντιστοιχίσετε τα στοιχεία της στήλης Α με στοιχεία της στήλης Β. Ένα (1) στοιχείο της στήλης Β περισσεύει.</w:t>
      </w:r>
    </w:p>
    <w:tbl>
      <w:tblPr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6"/>
        <w:gridCol w:w="4475"/>
      </w:tblGrid>
      <w:tr>
        <w:trPr/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Α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Β</w:t>
            </w:r>
          </w:p>
        </w:tc>
      </w:tr>
      <w:tr>
        <w:trPr/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 Αλέξανδρος Υψηλάντης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 Κωνσταντίνος Παπαρηγόπουλος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 Χαρίλαος Τρικούπης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 Μητροπολίτης Χρύσανθος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 Νικόλαος Πλαστήρας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α. παροικιακό κεφάλαιο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β. ανεξαρτησία του Πόντου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γ. Μικρασιατικός πόλεμος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δ. ελληνικό έθνος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ε. Φιλική Εταιρεία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στ. μακεδονικό μέτωπο</w:t>
            </w:r>
          </w:p>
        </w:tc>
      </w:tr>
    </w:tbl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Calibri" w:ascii="Calibri" w:hAnsi="Calibri"/>
          <w:color w:val="000000"/>
          <w:szCs w:val="24"/>
          <w:lang w:val="el-GR"/>
        </w:rPr>
      </w:r>
    </w:p>
    <w:tbl>
      <w:tblPr>
        <w:tblStyle w:val="a4"/>
        <w:tblW w:w="928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6343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1. Λένιν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α. Ρώσος πρωθυπουργός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2. Πλαστήρας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β. Βασιλιάς της Ελλάδας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3. Χρύσανθος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γ. Οκτωβριανή Επανάσταση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4. Κλεμανσό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δ. κίνημα αξιωματικών του 1922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5. Κωνσταντίνος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ε. Μητροπολίτης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Fonts w:cs="" w:cstheme="minorHAnsi"/>
                <w:bCs/>
                <w:color w:val="000009"/>
                <w:sz w:val="24"/>
                <w:szCs w:val="24"/>
              </w:rPr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στ. Γάλλος πρωθυπουργός</w:t>
            </w:r>
          </w:p>
        </w:tc>
      </w:tr>
    </w:tbl>
    <w:p>
      <w:pPr>
        <w:pStyle w:val="Normal"/>
        <w:bidi w:val="0"/>
        <w:spacing w:lineRule="auto" w:line="360" w:before="0" w:after="0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>
        <w:rPr>
          <w:rFonts w:eastAsia="Times New Roman" w:cs="Segoe UI"/>
          <w:b/>
          <w:bCs/>
          <w:sz w:val="24"/>
          <w:szCs w:val="24"/>
          <w:lang w:val="el-GR"/>
        </w:rPr>
        <w:t>6.</w:t>
      </w:r>
      <w:r>
        <w:rPr>
          <w:rFonts w:eastAsia="Times New Roman" w:cs="Segoe UI"/>
          <w:sz w:val="24"/>
          <w:szCs w:val="24"/>
          <w:lang w:val="el-GR"/>
        </w:rPr>
        <w:t xml:space="preserve"> Να αντιστοιχίσετε τα στοιχεία της στήλης Α με τα στοιχεία της στήλης Β. Ένα στοιχείο της στήλης Β περισσεύει:                                 </w:t>
      </w:r>
      <w:r>
        <w:rPr>
          <w:rFonts w:eastAsia="Times New Roman" w:cs="Segoe UI"/>
          <w:sz w:val="24"/>
          <w:szCs w:val="24"/>
        </w:rPr>
        <w:t> </w:t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4670"/>
        <w:gridCol w:w="4677"/>
      </w:tblGrid>
      <w:tr>
        <w:trPr>
          <w:trHeight w:val="315" w:hRule="atLeas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Α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Β</w:t>
            </w:r>
          </w:p>
        </w:tc>
      </w:tr>
      <w:tr>
        <w:trPr>
          <w:trHeight w:val="1261" w:hRule="atLeas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1. Πρωτόκολλο Ανεξαρτησίας (Λονδίνο, 22 Ιανουαρίου / 3 Φεβρουαρίου 1830)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2. Συνθήκη του Λονδίνου (17/30 Μαΐου 1913) 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3. Συνθήκη του Βουκουρεστίου  (28 Ιουλίου / 10 Αυγούστου  1913)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4. Συνθήκη των Σεβρών (28 Ιουλίου / 10 Αυγούστου 1920)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5. Σύμβαση της Λωζάνης (30 Ιανουαρίου / 12 Φεβρουαρίου 1923)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283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α. ένταξη της περιοχής της Καβάλας στον ελληνικό εθνικό κορμό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β. ίδρυση ανεξάρτητου ελληνικού κράτους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283" w:hanging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γ.παραχώρηση όλων των οθωμανικών κτήσεων   στα δυτικά της γραμμής Αίνου-Μηδείας στην Ελλάδα, τη Βουλγαρία, τη Σερβία και το Μαυροβούνιο.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424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δ.παραχώρηση της Αλσατίας και της Λοραίνης από τη Γερμανία στη Γαλλία 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141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ε. παραχώρηση της Ανατολικής Θράκης στην  Ελλάδα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141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στ. υποχρεωτική ανταλλαγή των Ελλήνων ορθοδόξων χριστιανών της Τουρκίας και των μουσουλμάνων της Ελλάδας 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bidi w:val="0"/>
        <w:spacing w:lineRule="auto" w:line="360" w:before="0" w:after="0"/>
        <w:jc w:val="left"/>
        <w:textAlignment w:val="baseline"/>
        <w:rPr>
          <w:rFonts w:eastAsia="Times New Roman" w:cs="Segoe UI"/>
          <w:sz w:val="24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</w:r>
    </w:p>
    <w:p>
      <w:pPr>
        <w:pStyle w:val="Normal"/>
        <w:bidi w:val="0"/>
        <w:spacing w:lineRule="auto" w:line="360"/>
        <w:jc w:val="both"/>
        <w:rPr>
          <w:rFonts w:eastAsia="Times New Roman" w:cs="Calibri"/>
          <w:sz w:val="24"/>
          <w:szCs w:val="24"/>
        </w:rPr>
      </w:pPr>
      <w:r>
        <w:rPr>
          <w:rStyle w:val="Normaltextrun"/>
          <w:rFonts w:cs="" w:cstheme="minorHAnsi"/>
          <w:b/>
          <w:bCs/>
          <w:color w:val="000009"/>
          <w:sz w:val="24"/>
          <w:szCs w:val="24"/>
        </w:rPr>
        <w:t xml:space="preserve">7.  </w:t>
      </w:r>
      <w:r>
        <w:rPr>
          <w:rFonts w:cs="" w:cstheme="minorHAnsi"/>
          <w:sz w:val="24"/>
          <w:szCs w:val="24"/>
        </w:rPr>
        <w:t>Να αντιστοιχίσετε τα στοιχεία της στήλης Α με εκείνα της στήλης Β. Ένα στοιχείο της στήλης Α περισσεύει</w:t>
      </w:r>
      <w:r>
        <w:rPr>
          <w:rFonts w:eastAsia="Times New Roman" w:cs="Calibri"/>
          <w:sz w:val="24"/>
          <w:szCs w:val="24"/>
        </w:rPr>
        <w:t>:</w:t>
      </w:r>
    </w:p>
    <w:tbl>
      <w:tblPr>
        <w:tblStyle w:val="a4"/>
        <w:tblW w:w="928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7335"/>
      </w:tblGrid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1. Βουκουρέστι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α. Εκεί υπογράφτηκε η Συνθήκη που λήγει τον Α΄ Παγκόσμιο Πόλεμο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2. Λ</w:t>
            </w:r>
            <w:r>
              <w:rPr>
                <w:rStyle w:val="Normaltextrun"/>
                <w:rFonts w:eastAsia="Calibri" w:cs="" w:ascii="Calibri" w:hAnsi="Calibr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ωζάννη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β. Εκεί ιδρύθηκε η Φιλική Εταιρία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3. Βερσαλλίες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γ. Εκεί υπογράφτηκε η Συνθήκη που τερμάτισε τον Β’ Βαλκανικό Πόλεμο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4. Νεϊγύ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δ. Εκεί δολοφονήθηκε ο Καποδίστριας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5. Οδησσός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6. Ναύπλιο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ε. Εκεί υπογράφτηκε ταπεινωτική Συνθήκη για την Ελλάδα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Fonts w:cs="" w:cstheme="minorHAnsi"/>
                <w:bCs/>
                <w:color w:val="000009"/>
                <w:sz w:val="24"/>
                <w:szCs w:val="24"/>
              </w:rPr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Fonts w:cs="" w:cstheme="minorHAnsi"/>
                <w:bCs/>
                <w:color w:val="000009"/>
                <w:sz w:val="24"/>
                <w:szCs w:val="24"/>
              </w:rPr>
            </w:r>
          </w:p>
        </w:tc>
      </w:tr>
    </w:tbl>
    <w:p>
      <w:pPr>
        <w:pStyle w:val="Paragraph"/>
        <w:bidi w:val="0"/>
        <w:spacing w:lineRule="auto" w:line="360" w:beforeAutospacing="0" w:before="0" w:afterAutospacing="0" w:after="0"/>
        <w:jc w:val="left"/>
        <w:textAlignment w:val="baseline"/>
        <w:rPr>
          <w:rStyle w:val="Eop"/>
          <w:rFonts w:cs="" w:asciiTheme="minorHAnsi" w:cstheme="minorHAnsi" w:hAnsiTheme="minorHAnsi"/>
          <w:color w:val="000009"/>
        </w:rPr>
      </w:pPr>
      <w:r>
        <w:rPr>
          <w:rFonts w:cs="" w:asciiTheme="minorHAnsi" w:cstheme="minorHAnsi" w:hAnsiTheme="minorHAnsi"/>
          <w:color w:val="000009"/>
        </w:rPr>
      </w:r>
    </w:p>
    <w:p>
      <w:pPr>
        <w:pStyle w:val="Normal"/>
        <w:bidi w:val="0"/>
        <w:spacing w:lineRule="auto" w:line="360"/>
        <w:jc w:val="both"/>
        <w:rPr>
          <w:rFonts w:eastAsia="Times New Roman" w:cs="Calibri"/>
          <w:sz w:val="24"/>
          <w:szCs w:val="24"/>
        </w:rPr>
      </w:pPr>
      <w:r>
        <w:rPr>
          <w:rStyle w:val="Normaltextrun"/>
          <w:rFonts w:cs="" w:cstheme="minorHAnsi"/>
          <w:b/>
          <w:bCs/>
          <w:color w:val="000009"/>
          <w:sz w:val="24"/>
          <w:szCs w:val="24"/>
        </w:rPr>
        <w:t xml:space="preserve">8. </w:t>
      </w:r>
      <w:r>
        <w:rPr>
          <w:rFonts w:cs="" w:cstheme="minorHAnsi"/>
          <w:sz w:val="24"/>
          <w:szCs w:val="24"/>
        </w:rPr>
        <w:t>Να αντιστοιχίσετε τα στοιχεία της στήλης Α με εκείνα της στήλης Β. Ένα στοιχείο της στήλης Α περισσεύει</w:t>
      </w:r>
      <w:r>
        <w:rPr>
          <w:rFonts w:eastAsia="Times New Roman" w:cs="Calibri"/>
          <w:sz w:val="24"/>
          <w:szCs w:val="24"/>
        </w:rPr>
        <w:t>:</w:t>
      </w:r>
    </w:p>
    <w:tbl>
      <w:tblPr>
        <w:tblStyle w:val="a4"/>
        <w:tblW w:w="928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7335"/>
      </w:tblGrid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1. Βουκουρέστι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α. Εκεί υπογράφτηκε η Συνθήκη που λήγει τον Α΄ Παγκόσμιο Πόλεμο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2. Λ</w:t>
            </w:r>
            <w:r>
              <w:rPr>
                <w:rStyle w:val="Normaltextrun"/>
                <w:rFonts w:eastAsia="Calibri" w:cs="" w:ascii="Calibri" w:hAnsi="Calibr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ωζάννη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β. Εκεί ιδρύθηκε η Φιλική Εταιρία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3. Βερσαλλίες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γ. Εκεί υπογράφτηκε η Συνθήκη που τερμάτισε τον Β’ Βαλκανικό Πόλεμο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4. Νεϊγύ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δ. Εκεί δολοφονήθηκε ο Καποδίστριας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5. Οδησσός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6. Ναύπλιο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ε. Εκεί υπογράφτηκε ταπεινωτική Συνθήκη για την Ελλάδα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Fonts w:cs="" w:cstheme="minorHAnsi"/>
                <w:bCs/>
                <w:color w:val="000009"/>
                <w:sz w:val="24"/>
                <w:szCs w:val="24"/>
              </w:rPr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Fonts w:cs="" w:cstheme="minorHAnsi"/>
                <w:bCs/>
                <w:color w:val="000009"/>
                <w:sz w:val="24"/>
                <w:szCs w:val="24"/>
              </w:rPr>
            </w:r>
          </w:p>
        </w:tc>
      </w:tr>
    </w:tbl>
    <w:p>
      <w:pPr>
        <w:pStyle w:val="Paragraph"/>
        <w:bidi w:val="0"/>
        <w:spacing w:lineRule="auto" w:line="360" w:beforeAutospacing="0" w:before="0" w:afterAutospacing="0" w:after="0"/>
        <w:jc w:val="left"/>
        <w:textAlignment w:val="baseline"/>
        <w:rPr>
          <w:rStyle w:val="Eop"/>
          <w:rFonts w:cs="" w:asciiTheme="minorHAnsi" w:cstheme="minorHAnsi" w:hAnsiTheme="minorHAnsi"/>
          <w:color w:val="000009"/>
        </w:rPr>
      </w:pPr>
      <w:r>
        <w:rPr>
          <w:rFonts w:cs="" w:asciiTheme="minorHAnsi" w:cstheme="minorHAnsi" w:hAnsiTheme="minorHAnsi"/>
          <w:color w:val="000009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  <w:u w:val="single"/>
          <w:lang w:val="el-GR"/>
        </w:rPr>
        <w:t>ΣΩΣΤΟ- ΛΑΘΟΣ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1. Ο Α΄ Παγκόσμιος Πόλεμος τελείωσε στις 11 Νοεμβρίου 1918.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Ο μητροπολίτης Χρύσανθος δεν δεχόταν τη συμβιβαστική λύση ενός ποντοαρμενικού κράτους.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3. Ο Νικόλαος Μπουχάριν υποστήριζε τη συνέχιση του πολέμου.</w:t>
      </w:r>
    </w:p>
    <w:p>
      <w:pPr>
        <w:pStyle w:val="Normal"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Calibri" w:ascii="Liberation Serif" w:hAnsi="Liberation Serif"/>
          <w:bCs/>
          <w:sz w:val="24"/>
          <w:szCs w:val="24"/>
        </w:rPr>
        <w:t xml:space="preserve">4. </w:t>
      </w:r>
      <w:r>
        <w:rPr>
          <w:rFonts w:cs="Calibri" w:ascii="Liberation Serif" w:hAnsi="Liberation Serif"/>
          <w:b w:val="false"/>
          <w:bCs/>
          <w:i w:val="false"/>
          <w:caps w:val="false"/>
          <w:smallCaps w:val="false"/>
          <w:color w:val="21262C"/>
          <w:spacing w:val="0"/>
          <w:sz w:val="24"/>
          <w:szCs w:val="24"/>
        </w:rPr>
        <w:t>Στο πλαίσιο του Α' Παγκοσμίου Πολέμου, τα υποβρύχια προξένησαν τεράστιες ζημιές στην εμπορική ναυτιλία και των εμπολέμων και των ουδετέρων.</w:t>
      </w:r>
    </w:p>
    <w:p>
      <w:pPr>
        <w:pStyle w:val="Style11"/>
        <w:widowControl/>
        <w:spacing w:before="0" w:after="140"/>
        <w:rPr>
          <w:rFonts w:ascii="Liberation Serif" w:hAnsi="Liberation Serif"/>
          <w:b w:val="false"/>
          <w:i w:val="false"/>
          <w:caps w:val="false"/>
          <w:smallCaps w:val="false"/>
          <w:color w:val="21262C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1262C"/>
          <w:spacing w:val="0"/>
          <w:sz w:val="24"/>
        </w:rPr>
        <w:t xml:space="preserve">5.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1262C"/>
          <w:spacing w:val="0"/>
          <w:sz w:val="24"/>
        </w:rPr>
        <w:t>Μια από τις αρνητικές συνέπειες του Α' Παγκοσμίου Πολέμου ήταν να υποβιβαστεί το επίπεδο των διεθνών σχέσεων.</w:t>
      </w:r>
    </w:p>
    <w:p>
      <w:pPr>
        <w:pStyle w:val="Style11"/>
        <w:widowControl/>
        <w:spacing w:before="0" w:after="140"/>
        <w:rPr>
          <w:rFonts w:ascii="Liberation Serif" w:hAnsi="Liberation Serif"/>
          <w:b w:val="false"/>
          <w:i w:val="false"/>
          <w:caps w:val="false"/>
          <w:smallCaps w:val="false"/>
          <w:color w:val="21262C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1262C"/>
          <w:spacing w:val="0"/>
          <w:sz w:val="24"/>
        </w:rPr>
        <w:t xml:space="preserve">6.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1262C"/>
          <w:spacing w:val="0"/>
          <w:sz w:val="24"/>
        </w:rPr>
        <w:t>Στο συνέδριο της ειρήνης στο Παρίσι (1919-1920) ο Αμερικανός Πρόεδρος που συμμετείχε λεγόταν Λόυντ Τζορτζ.</w:t>
      </w:r>
    </w:p>
    <w:p>
      <w:pPr>
        <w:pStyle w:val="Style11"/>
        <w:widowControl/>
        <w:spacing w:before="0" w:after="140"/>
        <w:rPr>
          <w:sz w:val="24"/>
          <w:szCs w:val="24"/>
        </w:rPr>
      </w:pPr>
      <w:r>
        <w:rPr>
          <w:rFonts w:ascii="Noto Sans;sans-serif" w:hAnsi="Noto Sans;sans-serif"/>
          <w:b w:val="false"/>
          <w:i w:val="false"/>
          <w:caps w:val="false"/>
          <w:smallCaps w:val="false"/>
          <w:color w:val="21262C"/>
          <w:spacing w:val="0"/>
          <w:sz w:val="24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 xml:space="preserve">7. </w:t>
      </w:r>
      <w:r>
        <w:rPr>
          <w:rFonts w:cs="Calibri" w:ascii="Calibri" w:hAnsi="Calibri"/>
          <w:szCs w:val="24"/>
          <w:lang w:val="en-US"/>
        </w:rPr>
        <w:t>O</w:t>
      </w:r>
      <w:r>
        <w:rPr>
          <w:rFonts w:cs="Calibri" w:ascii="Calibri" w:hAnsi="Calibri"/>
          <w:szCs w:val="24"/>
          <w:lang w:val="el-GR"/>
        </w:rPr>
        <w:t xml:space="preserve"> Ελευθέριος </w:t>
      </w:r>
      <w:r>
        <w:rPr>
          <w:rFonts w:cs="Calibri" w:ascii="Calibri" w:hAnsi="Calibri"/>
          <w:szCs w:val="24"/>
          <w:lang w:val="en-US"/>
        </w:rPr>
        <w:t>B</w:t>
      </w:r>
      <w:r>
        <w:rPr>
          <w:rFonts w:cs="Calibri" w:ascii="Calibri" w:hAnsi="Calibri"/>
          <w:szCs w:val="24"/>
          <w:lang w:val="el-GR"/>
        </w:rPr>
        <w:t>ενιζέλος θεωρούσε εφικτή την ίδρυση ενός ανεξάρτητου ποντιακού ή ποντιαρμενικού κράτους.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bCs/>
          <w:sz w:val="24"/>
          <w:szCs w:val="24"/>
          <w:lang w:val="el-GR"/>
        </w:rPr>
        <w:t>8. Η Οθωμανική Αυτοκρατορία έσπευσε να ταχθεί με το μέρος της Τριπλής Συνεννόησης τον Νοέμβριο του 1914.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>9. Με τη Συνθήκη Ειρήνης του Λονδίνου (30 Μαΐου 1913) ο Σουλτάνος παραιτήθηκε από τα δικαιώματά του στην Κρήτη.</w:t>
      </w:r>
    </w:p>
    <w:p>
      <w:pPr>
        <w:pStyle w:val="Normal"/>
        <w:bidi w:val="0"/>
        <w:spacing w:lineRule="auto" w:line="360" w:before="0" w:after="0"/>
        <w:ind w:left="0" w:right="6" w:hanging="0"/>
        <w:jc w:val="left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bCs/>
          <w:sz w:val="24"/>
          <w:szCs w:val="24"/>
          <w:lang w:val="el-GR"/>
        </w:rPr>
        <w:t>10. Με τη Συνθήκη των Σεβρών ανατέθηκε στην Ελλάδα η προσωρινή διοίκηση των Στενών.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11. Με τη συνθήκη του Νεϊγύ ανατέθηκε στην Ελλάδα η προσωρινή διοίκηση της περιοχής της Σμύρνης.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  <w:lang w:val="el-GR"/>
        </w:rPr>
        <w:t>12. Από την υποχρεωτική ανταλλαγή των πληθυσμών μετά τη Μικρασιατική Καταστροφή εξαιρέθηκαν μόνο οι Τούρκοι της Δυτικής Θράκης και οι Έλληνες των νησιών της Ίμβρου και της Τενέδου.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>13.</w:t>
      </w:r>
      <w:r>
        <w:rPr>
          <w:rFonts w:cs="Calibri" w:ascii="Calibri" w:hAnsi="Calibri" w:cstheme="minorHAnsi"/>
          <w:bCs/>
          <w:sz w:val="24"/>
          <w:szCs w:val="24"/>
          <w:lang w:val="el-GR"/>
        </w:rPr>
        <w:t xml:space="preserve"> Με το πρωτόκολλο της Φλωρεντίας (1913) η Αλβανία έχασε τη Χιμάρα, το Αργυρόκαστρο και την Κορυτσά.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14. Στις 17/30 Μαΐου 1913 υπογράφτηκε στο Παρίσι συνθήκη ειρήνης με την οποία τερματίστηκε ο Α΄ Βαλκανικός Πόλεμος.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>15. Η Συνθήκη του Βουκουρεστίου (28 Ιουλίου/10 Αυγούστου 1913) κατακύρωσε την Καβάλα και την περιοχή της στη Σερβία.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16. Στον Α΄ Παγκόσμιο Πόλεμο η Οθωμανική Αυτοκρατορία τάχθηκε με το μέρος των Κεντρικών Δυνάμεων (Τριπλής Συμμαχίας).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17. Ένα από τα αποτελέσματα του Α΄ Παγκοσμίου Πολέμου ήταν η δήλωση του Προέδρου των ΗΠΑ Ουίλσον για την αυτοδιάθεση των λαών.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18. Ο Βενιζέλος έχασε τις εκλογές του Μαΐου 1915.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19. Στο συνέδριο της ειρήνης στο Παρίσι (1919-1920) ο Αμερικανός Πρόεδρος που συμμετείχε λεγόταν Λόυντ Τζορτζ.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>20. Η Συνθήκη της Λωζάννης υπεγράφη το 1922.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21. Η Ελλάδα μπήκε στον Α΄ Παγκόσμιο Πόλεμο το 1917 στο πλευρό της Τριπλής Συννενόησης.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22. Η Συνθήκη του Βουκουρεστίου (1913) έλυσε οριστικά το ζήτημα των ελληνοαλβανικών συνόρων και των νησιών του Ανατολικού Αιγαίου.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23. Το Κομμουνιστικό Κόμμα με επικεφαλής τον γενικό γραμματέα του κόμματος είχε τον απόλυτο έλεγχο της ΕΣΣΔ.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24. Από το καλοκαίρι του 1918 προωθείτο το αίτημα για την ίδρυση του ανεξάρτητου ποντιακού ή ποντοαρμενικού κράτους.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>25. Ο Α΄ Παγκόσμιος Πόλεμος τελείωσε το φθινόπωρο του 1919.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cs="" w:asciiTheme="minorHAnsi" w:cstheme="minorHAnsi" w:hAnsiTheme="minorHAnsi"/>
          <w:szCs w:val="24"/>
          <w:lang w:val="el-GR"/>
        </w:rPr>
      </w:pPr>
      <w:r>
        <w:rPr>
          <w:rFonts w:cs="" w:asciiTheme="minorHAnsi" w:cstheme="minorHAnsi" w:hAnsiTheme="minorHAnsi"/>
          <w:szCs w:val="24"/>
          <w:lang w:val="el-GR"/>
        </w:rPr>
        <w:t>26. Με τη Σύμβαση της Λωζάννης επιβεβαιώθηκε η παραμονή στην Κωνσταντινούπολη του Οικουμενικού Πατριαρχείου.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" w:asciiTheme="minorHAnsi" w:cstheme="minorHAnsi" w:hAnsiTheme="minorHAnsi"/>
          <w:szCs w:val="24"/>
          <w:lang w:val="el-GR"/>
        </w:rPr>
        <w:t>27. Η Ένωση των Σοβιετικών Σοσιαλιστικών Δημοκρατιών συνδύαζε την αρχή της αυτονομίας των εθνοτήτων με αυτή του διεθνισμού.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cs="" w:asciiTheme="minorHAnsi" w:cstheme="minorHAnsi" w:hAnsiTheme="minorHAnsi"/>
          <w:szCs w:val="24"/>
          <w:lang w:val="el-GR"/>
        </w:rPr>
      </w:pPr>
      <w:r>
        <w:rPr>
          <w:rFonts w:cs="" w:asciiTheme="minorHAnsi" w:cstheme="minorHAnsi" w:hAnsiTheme="minorHAnsi"/>
          <w:bCs/>
          <w:sz w:val="24"/>
          <w:szCs w:val="24"/>
          <w:lang w:val="el-GR"/>
        </w:rPr>
        <w:t>28. Στη συνθήκη των Βερσαλλιών (28 Ιουνίου 1919) υπερίσχυσαν οι απόψεις και οι επιδιώξεις της Γαλλίας.</w:t>
      </w:r>
    </w:p>
    <w:p>
      <w:pPr>
        <w:pStyle w:val="Normal"/>
        <w:bidi w:val="0"/>
        <w:spacing w:lineRule="auto" w:line="360" w:before="0" w:after="0"/>
        <w:jc w:val="both"/>
        <w:rPr>
          <w:color w:val="000000" w:themeColor="text1"/>
          <w:sz w:val="24"/>
          <w:szCs w:val="24"/>
        </w:rPr>
      </w:pPr>
      <w:r>
        <w:rPr>
          <w:rFonts w:cs="Calibri" w:ascii="Calibri" w:hAnsi="Calibri"/>
          <w:bCs/>
          <w:color w:val="000000" w:themeColor="text1"/>
          <w:sz w:val="24"/>
          <w:szCs w:val="24"/>
          <w:lang w:val="el-GR"/>
        </w:rPr>
        <w:t xml:space="preserve">29. Με το Πρωτόκολλο της Φλωρεντίας (4/17 Δεκεμβρίου 1913) οι επαρχίες της Χιμάρας, του Αργυροκάστρου και της Κορυτσάς, όπου υπήρχε ακμαίο το ελληνικό στοιχείο, παραχωρήθηκαν στην Ελλάδα. 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30. Η Συνθήκη Ειρήνης που υπογράφτηκε στο Λονδίνο το 1913 τερμάτιζε τον Α΄ Βαλκανικό Πόλεμο.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31. Με τη λήξη του Β’ Βαλκανικού Πολέμου, η Καβάλα έμεινε έξω από τα όρια του ελληνικού κράτους.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  <w:u w:val="single"/>
        </w:rPr>
        <w:t>ΠΟΛΛΑΠΛΗΣ ΕΠΙΛΟΓΗΣ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1. Ποιες χώρες συνασπίστηκαν κατά τον Α΄ Βαλκανικό Πόλεμο εναντίον της Οθωμανικής Αυτοκρατορίας: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α. Ελλάδα-Σερβία-Ρωσία-Αυστρία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β. Ελλάδα-Ρωσία-Γαλλία-Μαυροβούνιο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γ. Ελλάδα-Βουλγαρία-Ρωσία-Σερβία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δ. Ελλάδα-Βουλγαρία-Σερβία-Μαυροβούνιο 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2. Ποιος πολιτικός υπερασπίστηκε με τα περίφημα «14 σημεία» την αυτοδιάθεση των λαών;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α. Φρανκλίνος Ρούζβελτ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β. Γούντροου Γουίλσον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γ. Λόυντ Τζώρτζ 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δ. Ζωρζ Κλεμανσό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3. Με ποια από τις ακόλουθες συνθήκες παραχωρήθηκε στην Ελλάδα η προσωρινή διοίκηση της περιοχής της Σμύρνης;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α. Συνθήκη των Βερσαλλιών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β. Συνθήκη των Σεβρών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γ. Συνθήκη του Νεϊγύ 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>δ. Συνθήκη του Τριανόν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">
    <w:altName w:val="sans-serif"/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tyle9">
    <w:name w:val="Χαρακτήρες αρίθμησης"/>
    <w:qFormat/>
    <w:rPr/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Mangal"/>
    </w:rPr>
  </w:style>
  <w:style w:type="paragraph" w:styleId="Style15">
    <w:name w:val="Περιεχόμενα πίνακα"/>
    <w:basedOn w:val="Normal"/>
    <w:qFormat/>
    <w:pPr>
      <w:widowControl w:val="false"/>
      <w:suppressLineNumbers/>
    </w:pPr>
    <w:rPr/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LibreOffice/7.5.0.3$Windows_X86_64 LibreOffice_project/c21113d003cd3efa8c53188764377a8272d9d6de</Application>
  <AppVersion>15.0000</AppVersion>
  <Pages>5</Pages>
  <Words>1148</Words>
  <Characters>6375</Characters>
  <CharactersWithSpaces>7459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2025-03-12T08:14:39Z</dcterms:created>
  <dc:creator/>
  <dc:description/>
  <dc:language>el-GR</dc:language>
  <cp:lastModifiedBy/>
  <dcterms:modified xsi:type="dcterms:W3CDTF">2025-03-12T09:14:14Z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