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442477" w14:textId="77777777" w:rsidR="00F82843" w:rsidRPr="00F82843" w:rsidRDefault="00F82843" w:rsidP="00F82843">
      <w:pPr>
        <w:autoSpaceDE w:val="0"/>
        <w:autoSpaceDN w:val="0"/>
        <w:adjustRightInd w:val="0"/>
        <w:jc w:val="both"/>
        <w:rPr>
          <w:rFonts w:asciiTheme="minorHAnsi" w:hAnsiTheme="minorHAnsi" w:cstheme="minorHAnsi"/>
          <w:b/>
          <w:color w:val="000000"/>
          <w:sz w:val="22"/>
          <w:szCs w:val="22"/>
        </w:rPr>
      </w:pPr>
      <w:r w:rsidRPr="00F82843">
        <w:rPr>
          <w:rFonts w:asciiTheme="minorHAnsi" w:hAnsiTheme="minorHAnsi" w:cstheme="minorHAnsi"/>
          <w:b/>
          <w:color w:val="000000"/>
          <w:sz w:val="22"/>
          <w:szCs w:val="22"/>
        </w:rPr>
        <w:t>Λαμβάνοντας υπόψη το κείμενο του βιβλίου σας και το περιεχόμενο των παραπάνω πηγών:</w:t>
      </w:r>
    </w:p>
    <w:p w14:paraId="1837E8FC" w14:textId="77777777" w:rsidR="00F82843" w:rsidRPr="00F82843" w:rsidRDefault="00F82843" w:rsidP="00F82843">
      <w:pPr>
        <w:autoSpaceDE w:val="0"/>
        <w:autoSpaceDN w:val="0"/>
        <w:adjustRightInd w:val="0"/>
        <w:jc w:val="both"/>
        <w:rPr>
          <w:rFonts w:asciiTheme="minorHAnsi" w:hAnsiTheme="minorHAnsi" w:cstheme="minorHAnsi"/>
          <w:b/>
          <w:color w:val="000000"/>
          <w:sz w:val="22"/>
          <w:szCs w:val="22"/>
        </w:rPr>
      </w:pPr>
      <w:r w:rsidRPr="00F82843">
        <w:rPr>
          <w:rFonts w:asciiTheme="minorHAnsi" w:hAnsiTheme="minorHAnsi" w:cstheme="minorHAnsi"/>
          <w:b/>
          <w:color w:val="000000"/>
          <w:sz w:val="22"/>
          <w:szCs w:val="22"/>
        </w:rPr>
        <w:t>α) Να παρουσιάσετε το περιεχόμενο της αγροτικής μεταρρύθμισης του 1871.</w:t>
      </w:r>
    </w:p>
    <w:p w14:paraId="33F1D9D9" w14:textId="77777777" w:rsidR="00F82843" w:rsidRPr="00F82843" w:rsidRDefault="00F82843" w:rsidP="00F82843">
      <w:pPr>
        <w:autoSpaceDE w:val="0"/>
        <w:autoSpaceDN w:val="0"/>
        <w:adjustRightInd w:val="0"/>
        <w:jc w:val="both"/>
        <w:rPr>
          <w:rFonts w:asciiTheme="minorHAnsi" w:hAnsiTheme="minorHAnsi" w:cstheme="minorHAnsi"/>
          <w:b/>
          <w:sz w:val="22"/>
          <w:szCs w:val="22"/>
        </w:rPr>
      </w:pPr>
      <w:r w:rsidRPr="00F82843">
        <w:rPr>
          <w:rFonts w:asciiTheme="minorHAnsi" w:hAnsiTheme="minorHAnsi" w:cstheme="minorHAnsi"/>
          <w:b/>
          <w:color w:val="000000"/>
          <w:sz w:val="22"/>
          <w:szCs w:val="22"/>
        </w:rPr>
        <w:t>β) Να επισημάνετε τις συνέπειες της μεταρρύθμισης στη γεωργία, στην εθνική οικονομία γενικότερα.</w:t>
      </w:r>
      <w:r w:rsidRPr="00F82843">
        <w:rPr>
          <w:rFonts w:asciiTheme="minorHAnsi" w:hAnsiTheme="minorHAnsi" w:cstheme="minorHAnsi"/>
          <w:b/>
          <w:sz w:val="22"/>
          <w:szCs w:val="22"/>
        </w:rPr>
        <w:t xml:space="preserve"> </w:t>
      </w:r>
    </w:p>
    <w:p w14:paraId="603F2C8D" w14:textId="77777777" w:rsidR="00F82843" w:rsidRPr="00F82843" w:rsidRDefault="00F82843" w:rsidP="00F82843">
      <w:pPr>
        <w:rPr>
          <w:rFonts w:asciiTheme="minorHAnsi" w:hAnsiTheme="minorHAnsi" w:cstheme="minorHAnsi"/>
          <w:b/>
          <w:color w:val="000000"/>
          <w:sz w:val="22"/>
          <w:szCs w:val="22"/>
        </w:rPr>
      </w:pPr>
      <w:r w:rsidRPr="00F82843">
        <w:rPr>
          <w:rFonts w:asciiTheme="minorHAnsi" w:hAnsiTheme="minorHAnsi" w:cstheme="minorHAnsi"/>
          <w:b/>
          <w:color w:val="000000"/>
          <w:sz w:val="22"/>
          <w:szCs w:val="22"/>
        </w:rPr>
        <w:t>ΠΗΓΗ 1</w:t>
      </w:r>
    </w:p>
    <w:p w14:paraId="729D0B70" w14:textId="77777777" w:rsidR="00F82843" w:rsidRPr="00F82843" w:rsidRDefault="00F82843" w:rsidP="00F82843">
      <w:pPr>
        <w:rPr>
          <w:rFonts w:asciiTheme="minorHAnsi" w:hAnsiTheme="minorHAnsi" w:cstheme="minorHAnsi"/>
          <w:b/>
          <w:color w:val="000000"/>
          <w:sz w:val="22"/>
          <w:szCs w:val="22"/>
        </w:rPr>
      </w:pPr>
      <w:r w:rsidRPr="00F82843">
        <w:rPr>
          <w:rFonts w:asciiTheme="minorHAnsi" w:hAnsiTheme="minorHAnsi" w:cstheme="minorHAnsi"/>
          <w:b/>
          <w:color w:val="000000"/>
          <w:sz w:val="22"/>
          <w:szCs w:val="22"/>
        </w:rPr>
        <w:t>Η αγροτική μεταρρύθμιση του 1871</w:t>
      </w:r>
    </w:p>
    <w:p w14:paraId="0DCCCF50" w14:textId="77777777" w:rsidR="00F82843" w:rsidRPr="00F82843" w:rsidRDefault="00F82843" w:rsidP="00D10E85">
      <w:pPr>
        <w:autoSpaceDE w:val="0"/>
        <w:autoSpaceDN w:val="0"/>
        <w:adjustRightInd w:val="0"/>
        <w:ind w:firstLine="510"/>
        <w:jc w:val="both"/>
        <w:rPr>
          <w:rFonts w:asciiTheme="minorHAnsi" w:hAnsiTheme="minorHAnsi" w:cstheme="minorHAnsi"/>
          <w:color w:val="000000"/>
          <w:sz w:val="22"/>
          <w:szCs w:val="22"/>
        </w:rPr>
      </w:pPr>
      <w:r w:rsidRPr="00F82843">
        <w:rPr>
          <w:rFonts w:asciiTheme="minorHAnsi" w:hAnsiTheme="minorHAnsi" w:cstheme="minorHAnsi"/>
          <w:color w:val="000000"/>
          <w:sz w:val="22"/>
          <w:szCs w:val="22"/>
        </w:rPr>
        <w:t xml:space="preserve">Γενικώς, το ελληνικό κράτος, εθνικοποιώντας την γη στα 1828, εμφανίζεται ως πρωτοποριακό μεταξύ των συγχρόνων καπιταλιστικών κρατών, επί του θέματος της γεωργικής πολιτικής. Ομοίως, η εν συνεχεία διανομή της εθνικοποιημένης γης στα 1871 δεν ήταν παρά μια λογική συνέπεια του ίδιου θεμελιώδους κρατικού προσανατολισμού: η διανομή της γης, κατακερματισμένης σε μικρούς οικογενειακούς κλήρους, δεν ήταν αντίθετη με την </w:t>
      </w:r>
      <w:proofErr w:type="spellStart"/>
      <w:r w:rsidRPr="00F82843">
        <w:rPr>
          <w:rFonts w:asciiTheme="minorHAnsi" w:hAnsiTheme="minorHAnsi" w:cstheme="minorHAnsi"/>
          <w:color w:val="000000"/>
          <w:sz w:val="22"/>
          <w:szCs w:val="22"/>
        </w:rPr>
        <w:t>προηγηθείσα</w:t>
      </w:r>
      <w:proofErr w:type="spellEnd"/>
      <w:r w:rsidRPr="00F82843">
        <w:rPr>
          <w:rFonts w:asciiTheme="minorHAnsi" w:hAnsiTheme="minorHAnsi" w:cstheme="minorHAnsi"/>
          <w:color w:val="000000"/>
          <w:sz w:val="22"/>
          <w:szCs w:val="22"/>
        </w:rPr>
        <w:t xml:space="preserve"> εθνικοποίηση, αλλά μάλλον μια ρεαλιστικότερη εφαρμογή της ίδιας αρχής. Ο κοινός στόχος και στις δύο περιπτώσεις ήταν να εμποδιστεί η μεγάλη γαιοκτησία. Η πρόοδος της μικρής οικογενειακής επιχείρησης, ισοδυναμώντας</w:t>
      </w:r>
      <w:r w:rsidR="00D10E85" w:rsidRPr="00D10E85">
        <w:rPr>
          <w:rFonts w:asciiTheme="minorHAnsi" w:hAnsiTheme="minorHAnsi" w:cstheme="minorHAnsi"/>
          <w:color w:val="000000"/>
          <w:sz w:val="22"/>
          <w:szCs w:val="22"/>
        </w:rPr>
        <w:t xml:space="preserve"> </w:t>
      </w:r>
      <w:r w:rsidRPr="00F82843">
        <w:rPr>
          <w:rFonts w:asciiTheme="minorHAnsi" w:hAnsiTheme="minorHAnsi" w:cstheme="minorHAnsi"/>
          <w:color w:val="000000"/>
          <w:sz w:val="22"/>
          <w:szCs w:val="22"/>
        </w:rPr>
        <w:t>με μια de facto εθνικοποίηση της γης, είχε ακόμη ως συνέπεια την ευρύτερη εθνικοποίηση της αγροτικής οικονομίας στο σύνολό της, θεωρούμενης ως όλου. Στο σημείο αυτό, η πολιτική του ελληνικού κράτους προανάγγελλε ή</w:t>
      </w:r>
      <w:r w:rsidR="00D10E85">
        <w:rPr>
          <w:rFonts w:asciiTheme="minorHAnsi" w:hAnsiTheme="minorHAnsi" w:cstheme="minorHAnsi"/>
          <w:color w:val="000000"/>
          <w:sz w:val="22"/>
          <w:szCs w:val="22"/>
        </w:rPr>
        <w:t>δη</w:t>
      </w:r>
      <w:r w:rsidRPr="00F82843">
        <w:rPr>
          <w:rFonts w:asciiTheme="minorHAnsi" w:hAnsiTheme="minorHAnsi" w:cstheme="minorHAnsi"/>
          <w:color w:val="000000"/>
          <w:sz w:val="22"/>
          <w:szCs w:val="22"/>
        </w:rPr>
        <w:t xml:space="preserve"> την ανάλογη πολιτική των συγχρόνων καπιταλιστικών κρατών υπέρ μιας </w:t>
      </w:r>
      <w:proofErr w:type="spellStart"/>
      <w:r w:rsidRPr="00F82843">
        <w:rPr>
          <w:rFonts w:asciiTheme="minorHAnsi" w:hAnsiTheme="minorHAnsi" w:cstheme="minorHAnsi"/>
          <w:color w:val="000000"/>
          <w:sz w:val="22"/>
          <w:szCs w:val="22"/>
        </w:rPr>
        <w:t>μικροαγροτικής</w:t>
      </w:r>
      <w:proofErr w:type="spellEnd"/>
      <w:r w:rsidRPr="00F82843">
        <w:rPr>
          <w:rFonts w:asciiTheme="minorHAnsi" w:hAnsiTheme="minorHAnsi" w:cstheme="minorHAnsi"/>
          <w:color w:val="000000"/>
          <w:sz w:val="22"/>
          <w:szCs w:val="22"/>
        </w:rPr>
        <w:t xml:space="preserve"> γεωργίας, όπως αυτή εφαρμόστηκε στα ευρωπαϊκά κράτη από τις πρώτες δεκαετίες του 20ου αιώνα.</w:t>
      </w:r>
    </w:p>
    <w:p w14:paraId="0539DADA" w14:textId="77777777" w:rsidR="00F82843" w:rsidRPr="00F82843" w:rsidRDefault="00F82843" w:rsidP="00D10E85">
      <w:pPr>
        <w:autoSpaceDE w:val="0"/>
        <w:autoSpaceDN w:val="0"/>
        <w:adjustRightInd w:val="0"/>
        <w:ind w:firstLine="510"/>
        <w:jc w:val="both"/>
        <w:rPr>
          <w:rFonts w:asciiTheme="minorHAnsi" w:hAnsiTheme="minorHAnsi" w:cstheme="minorHAnsi"/>
          <w:color w:val="000000"/>
          <w:sz w:val="22"/>
          <w:szCs w:val="22"/>
        </w:rPr>
      </w:pPr>
      <w:r w:rsidRPr="00F82843">
        <w:rPr>
          <w:rFonts w:asciiTheme="minorHAnsi" w:hAnsiTheme="minorHAnsi" w:cstheme="minorHAnsi"/>
          <w:color w:val="000000"/>
          <w:sz w:val="22"/>
          <w:szCs w:val="22"/>
        </w:rPr>
        <w:t xml:space="preserve">Το ελληνικό κράτος, είτε εθνικοποιώντας την γη στα 1828 είτε διανέμοντάς την στα 1871, </w:t>
      </w:r>
      <w:proofErr w:type="spellStart"/>
      <w:r w:rsidRPr="00F82843">
        <w:rPr>
          <w:rFonts w:asciiTheme="minorHAnsi" w:hAnsiTheme="minorHAnsi" w:cstheme="minorHAnsi"/>
          <w:color w:val="000000"/>
          <w:sz w:val="22"/>
          <w:szCs w:val="22"/>
        </w:rPr>
        <w:t>ετήρησε</w:t>
      </w:r>
      <w:proofErr w:type="spellEnd"/>
      <w:r w:rsidRPr="00F82843">
        <w:rPr>
          <w:rFonts w:asciiTheme="minorHAnsi" w:hAnsiTheme="minorHAnsi" w:cstheme="minorHAnsi"/>
          <w:color w:val="000000"/>
          <w:sz w:val="22"/>
          <w:szCs w:val="22"/>
        </w:rPr>
        <w:t xml:space="preserve"> πάντα μια καθαρώς δύσπιστη και εχθρική στάση απέναντι της μεγάλης γαιοκτησίας και του αγροτικού καπιταλισμού εν γένει. Εκ παραλλήλου, το Κράτος ευνόησε πάντα την κοινωνική ενσωμάτωση της γεωργίας, δια μέσου του προνομιούχου χώρου της αγοράς, επί τη βάσει της μικρής οικογενειακής επιχείρησης και ιδιοκτησίας.</w:t>
      </w:r>
    </w:p>
    <w:p w14:paraId="178D85CF" w14:textId="77777777" w:rsidR="00F82843" w:rsidRPr="00F82843" w:rsidRDefault="00F82843" w:rsidP="00F82843">
      <w:pPr>
        <w:autoSpaceDE w:val="0"/>
        <w:autoSpaceDN w:val="0"/>
        <w:adjustRightInd w:val="0"/>
        <w:jc w:val="right"/>
        <w:rPr>
          <w:rFonts w:asciiTheme="minorHAnsi" w:hAnsiTheme="minorHAnsi" w:cstheme="minorHAnsi"/>
          <w:color w:val="000000"/>
          <w:sz w:val="22"/>
          <w:szCs w:val="22"/>
        </w:rPr>
      </w:pPr>
      <w:r w:rsidRPr="00F82843">
        <w:rPr>
          <w:rFonts w:asciiTheme="minorHAnsi" w:hAnsiTheme="minorHAnsi" w:cstheme="minorHAnsi"/>
          <w:color w:val="000000"/>
          <w:sz w:val="22"/>
          <w:szCs w:val="22"/>
        </w:rPr>
        <w:t xml:space="preserve">Κ. </w:t>
      </w:r>
      <w:proofErr w:type="spellStart"/>
      <w:r w:rsidRPr="00F82843">
        <w:rPr>
          <w:rFonts w:asciiTheme="minorHAnsi" w:hAnsiTheme="minorHAnsi" w:cstheme="minorHAnsi"/>
          <w:color w:val="000000"/>
          <w:sz w:val="22"/>
          <w:szCs w:val="22"/>
        </w:rPr>
        <w:t>Βεργόπουλου</w:t>
      </w:r>
      <w:proofErr w:type="spellEnd"/>
      <w:r w:rsidRPr="00F82843">
        <w:rPr>
          <w:rFonts w:asciiTheme="minorHAnsi" w:hAnsiTheme="minorHAnsi" w:cstheme="minorHAnsi"/>
          <w:color w:val="000000"/>
          <w:sz w:val="22"/>
          <w:szCs w:val="22"/>
        </w:rPr>
        <w:t>, Το Αγροτικό ζήτημα στην Ελλάδα, σ. 115</w:t>
      </w:r>
    </w:p>
    <w:p w14:paraId="2B531AE9" w14:textId="77777777" w:rsidR="00F82843" w:rsidRPr="00F82843" w:rsidRDefault="00F82843" w:rsidP="00F82843">
      <w:pPr>
        <w:autoSpaceDE w:val="0"/>
        <w:autoSpaceDN w:val="0"/>
        <w:adjustRightInd w:val="0"/>
        <w:jc w:val="both"/>
        <w:rPr>
          <w:rFonts w:asciiTheme="minorHAnsi" w:hAnsiTheme="minorHAnsi" w:cstheme="minorHAnsi"/>
          <w:color w:val="000000"/>
          <w:sz w:val="22"/>
          <w:szCs w:val="22"/>
        </w:rPr>
      </w:pPr>
    </w:p>
    <w:p w14:paraId="2E3C25C7" w14:textId="77777777" w:rsidR="00F82843" w:rsidRPr="00F82843" w:rsidRDefault="00F82843" w:rsidP="00F82843">
      <w:pPr>
        <w:rPr>
          <w:rFonts w:asciiTheme="minorHAnsi" w:hAnsiTheme="minorHAnsi" w:cstheme="minorHAnsi"/>
          <w:b/>
          <w:color w:val="000000"/>
          <w:sz w:val="22"/>
          <w:szCs w:val="22"/>
        </w:rPr>
      </w:pPr>
      <w:r w:rsidRPr="00F82843">
        <w:rPr>
          <w:rFonts w:asciiTheme="minorHAnsi" w:hAnsiTheme="minorHAnsi" w:cstheme="minorHAnsi"/>
          <w:b/>
          <w:color w:val="000000"/>
          <w:sz w:val="22"/>
          <w:szCs w:val="22"/>
        </w:rPr>
        <w:t>ΠΗΓΗ 2</w:t>
      </w:r>
    </w:p>
    <w:p w14:paraId="5482018F" w14:textId="77777777" w:rsidR="00F82843" w:rsidRPr="00F82843" w:rsidRDefault="00F82843" w:rsidP="00F82843">
      <w:pPr>
        <w:rPr>
          <w:rFonts w:asciiTheme="minorHAnsi" w:hAnsiTheme="minorHAnsi" w:cstheme="minorHAnsi"/>
          <w:b/>
          <w:color w:val="000000"/>
          <w:sz w:val="22"/>
          <w:szCs w:val="22"/>
        </w:rPr>
      </w:pPr>
      <w:r w:rsidRPr="00F82843">
        <w:rPr>
          <w:rFonts w:asciiTheme="minorHAnsi" w:hAnsiTheme="minorHAnsi" w:cstheme="minorHAnsi"/>
          <w:b/>
          <w:color w:val="000000"/>
          <w:sz w:val="22"/>
          <w:szCs w:val="22"/>
        </w:rPr>
        <w:t>Η γεωργία και η αγροτική μεταρρύθμιση του 1871</w:t>
      </w:r>
    </w:p>
    <w:p w14:paraId="1A82A29E" w14:textId="77777777" w:rsidR="00F82843" w:rsidRPr="00F82843" w:rsidRDefault="00F82843" w:rsidP="00D10E85">
      <w:pPr>
        <w:autoSpaceDE w:val="0"/>
        <w:autoSpaceDN w:val="0"/>
        <w:adjustRightInd w:val="0"/>
        <w:ind w:firstLine="510"/>
        <w:jc w:val="both"/>
        <w:rPr>
          <w:rFonts w:asciiTheme="minorHAnsi" w:hAnsiTheme="minorHAnsi" w:cstheme="minorHAnsi"/>
          <w:color w:val="000000"/>
          <w:sz w:val="22"/>
          <w:szCs w:val="22"/>
        </w:rPr>
      </w:pPr>
      <w:r w:rsidRPr="00F82843">
        <w:rPr>
          <w:rFonts w:asciiTheme="minorHAnsi" w:hAnsiTheme="minorHAnsi" w:cstheme="minorHAnsi"/>
          <w:color w:val="000000"/>
          <w:sz w:val="22"/>
          <w:szCs w:val="22"/>
        </w:rPr>
        <w:t>Τελικά το Μάρτιο του 1871, ο Κουμουνδούρος, με υπουργό το Σωτηρόπουλο, πέτυχε την ψήφιση νόμου με αποτέλεσμα να διανεμηθούν 2.650.000 στρέμματα σε 357.217 κλήρους με αγοραία αξία 90.000.000 δρχ.</w:t>
      </w:r>
    </w:p>
    <w:p w14:paraId="20A54ECF" w14:textId="77777777" w:rsidR="00F82843" w:rsidRPr="00F82843" w:rsidRDefault="00F82843" w:rsidP="00D10E85">
      <w:pPr>
        <w:autoSpaceDE w:val="0"/>
        <w:autoSpaceDN w:val="0"/>
        <w:adjustRightInd w:val="0"/>
        <w:ind w:firstLine="510"/>
        <w:jc w:val="both"/>
        <w:rPr>
          <w:rFonts w:asciiTheme="minorHAnsi" w:hAnsiTheme="minorHAnsi" w:cstheme="minorHAnsi"/>
          <w:sz w:val="22"/>
          <w:szCs w:val="22"/>
        </w:rPr>
      </w:pPr>
      <w:r w:rsidRPr="00F82843">
        <w:rPr>
          <w:rFonts w:asciiTheme="minorHAnsi" w:hAnsiTheme="minorHAnsi" w:cstheme="minorHAnsi"/>
          <w:color w:val="000000"/>
          <w:sz w:val="22"/>
          <w:szCs w:val="22"/>
        </w:rPr>
        <w:t>Η σημασία της αγροτικής αυτής μεταρρυθμίσεως εκτιμάται πληρέστερα, όταν συνειδητοποιηθεί το γεγονός ότι το μεγαλύτερο μέρος των Ελλήνων χωρικών της εποχής εκείνης αποκαταστάθηκαν ως ιδιοκτήτες στη γη που καλλιεργούσαν. Οι μικροί ιδιοκτήτες καλλιεργητές επιδόθηκαν, όπως ήταν φυσικό, στις πιο κερδοφόρες καλλιέργειες και ιδιαίτερα σε εκείνες που προορίζονταν για εξαγωγή. Μέσα σε διάστημα μιας τριετίας, τα 40% και πλέον των καλλιεργούμενων εκτάσεων καλύπτονταν από φυτείες (</w:t>
      </w:r>
      <w:proofErr w:type="spellStart"/>
      <w:r w:rsidRPr="00F82843">
        <w:rPr>
          <w:rFonts w:asciiTheme="minorHAnsi" w:hAnsiTheme="minorHAnsi" w:cstheme="minorHAnsi"/>
          <w:color w:val="000000"/>
          <w:sz w:val="22"/>
          <w:szCs w:val="22"/>
        </w:rPr>
        <w:t>σταφιδαμπελώνες</w:t>
      </w:r>
      <w:proofErr w:type="spellEnd"/>
      <w:r w:rsidRPr="00F82843">
        <w:rPr>
          <w:rFonts w:asciiTheme="minorHAnsi" w:hAnsiTheme="minorHAnsi" w:cstheme="minorHAnsi"/>
          <w:color w:val="000000"/>
          <w:sz w:val="22"/>
          <w:szCs w:val="22"/>
        </w:rPr>
        <w:t xml:space="preserve">, βαμβακοφυτείες, καπνοφυτείες, κλπ.). Οι αγαθές για την οικονομία επιπτώσεις υπήρξαν άμεσες. Από την μια πλευρά παρατηρήθηκε ραγδαία εισροή ξένου συναλλάγματος και από την άλλη τα έσοδα του Δημοσίου από τους τελωνειακούς δασμούς εξαγωγής </w:t>
      </w:r>
      <w:proofErr w:type="spellStart"/>
      <w:r w:rsidRPr="00F82843">
        <w:rPr>
          <w:rFonts w:asciiTheme="minorHAnsi" w:hAnsiTheme="minorHAnsi" w:cstheme="minorHAnsi"/>
          <w:color w:val="000000"/>
          <w:sz w:val="22"/>
          <w:szCs w:val="22"/>
        </w:rPr>
        <w:t>πολλαπλασιάσθηκαν</w:t>
      </w:r>
      <w:proofErr w:type="spellEnd"/>
      <w:r w:rsidRPr="00F82843">
        <w:rPr>
          <w:rFonts w:asciiTheme="minorHAnsi" w:hAnsiTheme="minorHAnsi" w:cstheme="minorHAnsi"/>
          <w:color w:val="000000"/>
          <w:sz w:val="22"/>
          <w:szCs w:val="22"/>
        </w:rPr>
        <w:t>. Τα στοιχεία για τη σταφιδοπαραγωγή και εξαγωγή σταφίδας την περίοδο 1860-1878 είναι αποκαλυπτικά.</w:t>
      </w:r>
      <w:r w:rsidRPr="00F82843">
        <w:rPr>
          <w:rFonts w:asciiTheme="minorHAnsi" w:hAnsiTheme="minorHAnsi" w:cstheme="minorHAnsi"/>
          <w:sz w:val="22"/>
          <w:szCs w:val="22"/>
        </w:rPr>
        <w:t xml:space="preserve"> </w:t>
      </w:r>
    </w:p>
    <w:p w14:paraId="00CD12A6" w14:textId="77777777" w:rsidR="00F82843" w:rsidRPr="00F82843" w:rsidRDefault="00F82843" w:rsidP="00D10E85">
      <w:pPr>
        <w:autoSpaceDE w:val="0"/>
        <w:autoSpaceDN w:val="0"/>
        <w:adjustRightInd w:val="0"/>
        <w:ind w:firstLine="510"/>
        <w:jc w:val="both"/>
        <w:rPr>
          <w:rFonts w:asciiTheme="minorHAnsi" w:hAnsiTheme="minorHAnsi" w:cs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2"/>
        <w:gridCol w:w="2132"/>
        <w:gridCol w:w="2132"/>
        <w:gridCol w:w="2132"/>
      </w:tblGrid>
      <w:tr w:rsidR="00F82843" w:rsidRPr="00F82843" w14:paraId="7DD0D17A" w14:textId="77777777" w:rsidTr="001C1785">
        <w:trPr>
          <w:jc w:val="center"/>
        </w:trPr>
        <w:tc>
          <w:tcPr>
            <w:tcW w:w="2132" w:type="dxa"/>
          </w:tcPr>
          <w:p w14:paraId="56512DAA" w14:textId="77777777" w:rsidR="00F82843" w:rsidRPr="00F82843" w:rsidRDefault="00F82843" w:rsidP="00D10E85">
            <w:pPr>
              <w:autoSpaceDE w:val="0"/>
              <w:autoSpaceDN w:val="0"/>
              <w:adjustRightInd w:val="0"/>
              <w:ind w:firstLine="510"/>
              <w:jc w:val="both"/>
              <w:rPr>
                <w:rFonts w:asciiTheme="minorHAnsi" w:hAnsiTheme="minorHAnsi" w:cstheme="minorHAnsi"/>
                <w:b/>
                <w:color w:val="000000"/>
                <w:sz w:val="22"/>
                <w:szCs w:val="22"/>
              </w:rPr>
            </w:pPr>
          </w:p>
        </w:tc>
        <w:tc>
          <w:tcPr>
            <w:tcW w:w="2132" w:type="dxa"/>
          </w:tcPr>
          <w:p w14:paraId="0351B7EB" w14:textId="77777777" w:rsidR="00F82843" w:rsidRPr="00D10E85" w:rsidRDefault="00F82843" w:rsidP="00D10E85">
            <w:pPr>
              <w:autoSpaceDE w:val="0"/>
              <w:autoSpaceDN w:val="0"/>
              <w:adjustRightInd w:val="0"/>
              <w:ind w:firstLine="510"/>
              <w:jc w:val="center"/>
              <w:rPr>
                <w:rFonts w:asciiTheme="minorHAnsi" w:hAnsiTheme="minorHAnsi" w:cstheme="minorHAnsi"/>
                <w:b/>
                <w:color w:val="000000"/>
                <w:sz w:val="18"/>
                <w:szCs w:val="18"/>
              </w:rPr>
            </w:pPr>
            <w:r w:rsidRPr="00D10E85">
              <w:rPr>
                <w:rFonts w:asciiTheme="minorHAnsi" w:hAnsiTheme="minorHAnsi" w:cstheme="minorHAnsi"/>
                <w:b/>
                <w:color w:val="000000"/>
                <w:sz w:val="18"/>
                <w:szCs w:val="18"/>
              </w:rPr>
              <w:t>Καλλιεργούμενα στρέμματα</w:t>
            </w:r>
          </w:p>
        </w:tc>
        <w:tc>
          <w:tcPr>
            <w:tcW w:w="2132" w:type="dxa"/>
          </w:tcPr>
          <w:p w14:paraId="71095330" w14:textId="77777777" w:rsidR="00F82843" w:rsidRPr="00F82843" w:rsidRDefault="00F82843" w:rsidP="00D10E85">
            <w:pPr>
              <w:autoSpaceDE w:val="0"/>
              <w:autoSpaceDN w:val="0"/>
              <w:adjustRightInd w:val="0"/>
              <w:ind w:firstLine="510"/>
              <w:jc w:val="center"/>
              <w:rPr>
                <w:rFonts w:asciiTheme="minorHAnsi" w:hAnsiTheme="minorHAnsi" w:cstheme="minorHAnsi"/>
                <w:b/>
                <w:color w:val="000000"/>
                <w:sz w:val="22"/>
                <w:szCs w:val="22"/>
              </w:rPr>
            </w:pPr>
            <w:r w:rsidRPr="00D10E85">
              <w:rPr>
                <w:rFonts w:asciiTheme="minorHAnsi" w:hAnsiTheme="minorHAnsi" w:cstheme="minorHAnsi"/>
                <w:b/>
                <w:color w:val="000000"/>
                <w:sz w:val="18"/>
                <w:szCs w:val="18"/>
              </w:rPr>
              <w:t>Παραγωγή σε λίτρα ενετικά</w:t>
            </w:r>
          </w:p>
        </w:tc>
        <w:tc>
          <w:tcPr>
            <w:tcW w:w="2132" w:type="dxa"/>
          </w:tcPr>
          <w:p w14:paraId="0DC947B6" w14:textId="77777777" w:rsidR="00F82843" w:rsidRPr="00F82843" w:rsidRDefault="00F82843" w:rsidP="00D10E85">
            <w:pPr>
              <w:autoSpaceDE w:val="0"/>
              <w:autoSpaceDN w:val="0"/>
              <w:adjustRightInd w:val="0"/>
              <w:ind w:firstLine="510"/>
              <w:jc w:val="center"/>
              <w:rPr>
                <w:rFonts w:asciiTheme="minorHAnsi" w:hAnsiTheme="minorHAnsi" w:cstheme="minorHAnsi"/>
                <w:b/>
                <w:color w:val="000000"/>
                <w:sz w:val="22"/>
                <w:szCs w:val="22"/>
              </w:rPr>
            </w:pPr>
            <w:r w:rsidRPr="00D10E85">
              <w:rPr>
                <w:rFonts w:asciiTheme="minorHAnsi" w:hAnsiTheme="minorHAnsi" w:cstheme="minorHAnsi"/>
                <w:b/>
                <w:color w:val="000000"/>
                <w:sz w:val="18"/>
                <w:szCs w:val="18"/>
              </w:rPr>
              <w:t>Εξαγωγή σε λίτρα ενετικά</w:t>
            </w:r>
          </w:p>
        </w:tc>
      </w:tr>
      <w:tr w:rsidR="00F82843" w:rsidRPr="00F82843" w14:paraId="0AA4E9C8" w14:textId="77777777" w:rsidTr="001C1785">
        <w:trPr>
          <w:jc w:val="center"/>
        </w:trPr>
        <w:tc>
          <w:tcPr>
            <w:tcW w:w="2132" w:type="dxa"/>
          </w:tcPr>
          <w:p w14:paraId="4F0136A5" w14:textId="77777777" w:rsidR="00F82843" w:rsidRPr="00F82843" w:rsidRDefault="00F82843" w:rsidP="00D10E85">
            <w:pPr>
              <w:autoSpaceDE w:val="0"/>
              <w:autoSpaceDN w:val="0"/>
              <w:adjustRightInd w:val="0"/>
              <w:ind w:firstLine="510"/>
              <w:jc w:val="both"/>
              <w:rPr>
                <w:rFonts w:asciiTheme="minorHAnsi" w:hAnsiTheme="minorHAnsi" w:cstheme="minorHAnsi"/>
                <w:b/>
                <w:color w:val="000000"/>
                <w:sz w:val="22"/>
                <w:szCs w:val="22"/>
              </w:rPr>
            </w:pPr>
            <w:r w:rsidRPr="00F82843">
              <w:rPr>
                <w:rFonts w:asciiTheme="minorHAnsi" w:hAnsiTheme="minorHAnsi" w:cstheme="minorHAnsi"/>
                <w:b/>
                <w:color w:val="000000"/>
                <w:sz w:val="22"/>
                <w:szCs w:val="22"/>
              </w:rPr>
              <w:t>1860</w:t>
            </w:r>
          </w:p>
        </w:tc>
        <w:tc>
          <w:tcPr>
            <w:tcW w:w="2132" w:type="dxa"/>
          </w:tcPr>
          <w:p w14:paraId="7C9A458F" w14:textId="77777777" w:rsidR="00F82843" w:rsidRPr="00F82843" w:rsidRDefault="00F82843" w:rsidP="00D10E85">
            <w:pPr>
              <w:autoSpaceDE w:val="0"/>
              <w:autoSpaceDN w:val="0"/>
              <w:adjustRightInd w:val="0"/>
              <w:ind w:firstLine="510"/>
              <w:jc w:val="both"/>
              <w:rPr>
                <w:rFonts w:asciiTheme="minorHAnsi" w:hAnsiTheme="minorHAnsi" w:cstheme="minorHAnsi"/>
                <w:color w:val="000000"/>
                <w:sz w:val="22"/>
                <w:szCs w:val="22"/>
              </w:rPr>
            </w:pPr>
            <w:r w:rsidRPr="00F82843">
              <w:rPr>
                <w:rFonts w:asciiTheme="minorHAnsi" w:hAnsiTheme="minorHAnsi" w:cstheme="minorHAnsi"/>
                <w:color w:val="000000"/>
                <w:sz w:val="22"/>
                <w:szCs w:val="22"/>
              </w:rPr>
              <w:t>220.428</w:t>
            </w:r>
          </w:p>
        </w:tc>
        <w:tc>
          <w:tcPr>
            <w:tcW w:w="2132" w:type="dxa"/>
          </w:tcPr>
          <w:p w14:paraId="456B7530" w14:textId="77777777" w:rsidR="00F82843" w:rsidRPr="00F82843" w:rsidRDefault="00F82843" w:rsidP="00D10E85">
            <w:pPr>
              <w:autoSpaceDE w:val="0"/>
              <w:autoSpaceDN w:val="0"/>
              <w:adjustRightInd w:val="0"/>
              <w:ind w:firstLine="510"/>
              <w:jc w:val="both"/>
              <w:rPr>
                <w:rFonts w:asciiTheme="minorHAnsi" w:hAnsiTheme="minorHAnsi" w:cstheme="minorHAnsi"/>
                <w:color w:val="000000"/>
                <w:sz w:val="22"/>
                <w:szCs w:val="22"/>
              </w:rPr>
            </w:pPr>
            <w:r w:rsidRPr="00F82843">
              <w:rPr>
                <w:rFonts w:asciiTheme="minorHAnsi" w:hAnsiTheme="minorHAnsi" w:cstheme="minorHAnsi"/>
                <w:color w:val="000000"/>
                <w:sz w:val="22"/>
                <w:szCs w:val="22"/>
              </w:rPr>
              <w:t>110.228.000</w:t>
            </w:r>
          </w:p>
        </w:tc>
        <w:tc>
          <w:tcPr>
            <w:tcW w:w="2132" w:type="dxa"/>
          </w:tcPr>
          <w:p w14:paraId="467B7E31" w14:textId="77777777" w:rsidR="00F82843" w:rsidRPr="00F82843" w:rsidRDefault="00F82843" w:rsidP="00D10E85">
            <w:pPr>
              <w:autoSpaceDE w:val="0"/>
              <w:autoSpaceDN w:val="0"/>
              <w:adjustRightInd w:val="0"/>
              <w:ind w:firstLine="510"/>
              <w:jc w:val="both"/>
              <w:rPr>
                <w:rFonts w:asciiTheme="minorHAnsi" w:hAnsiTheme="minorHAnsi" w:cstheme="minorHAnsi"/>
                <w:color w:val="000000"/>
                <w:sz w:val="22"/>
                <w:szCs w:val="22"/>
              </w:rPr>
            </w:pPr>
            <w:r w:rsidRPr="00F82843">
              <w:rPr>
                <w:rFonts w:asciiTheme="minorHAnsi" w:hAnsiTheme="minorHAnsi" w:cstheme="minorHAnsi"/>
                <w:color w:val="000000"/>
                <w:sz w:val="22"/>
                <w:szCs w:val="22"/>
              </w:rPr>
              <w:t>101.707.075</w:t>
            </w:r>
          </w:p>
        </w:tc>
      </w:tr>
      <w:tr w:rsidR="00F82843" w:rsidRPr="00F82843" w14:paraId="01834E25" w14:textId="77777777" w:rsidTr="001C1785">
        <w:trPr>
          <w:jc w:val="center"/>
        </w:trPr>
        <w:tc>
          <w:tcPr>
            <w:tcW w:w="2132" w:type="dxa"/>
          </w:tcPr>
          <w:p w14:paraId="73A9582C" w14:textId="77777777" w:rsidR="00F82843" w:rsidRPr="00F82843" w:rsidRDefault="00F82843" w:rsidP="00D10E85">
            <w:pPr>
              <w:autoSpaceDE w:val="0"/>
              <w:autoSpaceDN w:val="0"/>
              <w:adjustRightInd w:val="0"/>
              <w:ind w:firstLine="510"/>
              <w:jc w:val="both"/>
              <w:rPr>
                <w:rFonts w:asciiTheme="minorHAnsi" w:hAnsiTheme="minorHAnsi" w:cstheme="minorHAnsi"/>
                <w:b/>
                <w:color w:val="000000"/>
                <w:sz w:val="22"/>
                <w:szCs w:val="22"/>
              </w:rPr>
            </w:pPr>
            <w:r w:rsidRPr="00F82843">
              <w:rPr>
                <w:rFonts w:asciiTheme="minorHAnsi" w:hAnsiTheme="minorHAnsi" w:cstheme="minorHAnsi"/>
                <w:b/>
                <w:color w:val="000000"/>
                <w:sz w:val="22"/>
                <w:szCs w:val="22"/>
              </w:rPr>
              <w:t>1870</w:t>
            </w:r>
          </w:p>
        </w:tc>
        <w:tc>
          <w:tcPr>
            <w:tcW w:w="2132" w:type="dxa"/>
          </w:tcPr>
          <w:p w14:paraId="42A88ADE" w14:textId="77777777" w:rsidR="00F82843" w:rsidRPr="00F82843" w:rsidRDefault="00F82843" w:rsidP="00D10E85">
            <w:pPr>
              <w:autoSpaceDE w:val="0"/>
              <w:autoSpaceDN w:val="0"/>
              <w:adjustRightInd w:val="0"/>
              <w:ind w:firstLine="510"/>
              <w:jc w:val="both"/>
              <w:rPr>
                <w:rFonts w:asciiTheme="minorHAnsi" w:hAnsiTheme="minorHAnsi" w:cstheme="minorHAnsi"/>
                <w:color w:val="000000"/>
                <w:sz w:val="22"/>
                <w:szCs w:val="22"/>
              </w:rPr>
            </w:pPr>
            <w:r w:rsidRPr="00F82843">
              <w:rPr>
                <w:rFonts w:asciiTheme="minorHAnsi" w:hAnsiTheme="minorHAnsi" w:cstheme="minorHAnsi"/>
                <w:color w:val="000000"/>
                <w:sz w:val="22"/>
                <w:szCs w:val="22"/>
              </w:rPr>
              <w:t>221.164</w:t>
            </w:r>
          </w:p>
        </w:tc>
        <w:tc>
          <w:tcPr>
            <w:tcW w:w="2132" w:type="dxa"/>
          </w:tcPr>
          <w:p w14:paraId="56E43C4A" w14:textId="77777777" w:rsidR="00F82843" w:rsidRPr="00F82843" w:rsidRDefault="00F82843" w:rsidP="00D10E85">
            <w:pPr>
              <w:autoSpaceDE w:val="0"/>
              <w:autoSpaceDN w:val="0"/>
              <w:adjustRightInd w:val="0"/>
              <w:ind w:firstLine="510"/>
              <w:jc w:val="both"/>
              <w:rPr>
                <w:rFonts w:asciiTheme="minorHAnsi" w:hAnsiTheme="minorHAnsi" w:cstheme="minorHAnsi"/>
                <w:color w:val="000000"/>
                <w:sz w:val="22"/>
                <w:szCs w:val="22"/>
              </w:rPr>
            </w:pPr>
            <w:r w:rsidRPr="00F82843">
              <w:rPr>
                <w:rFonts w:asciiTheme="minorHAnsi" w:hAnsiTheme="minorHAnsi" w:cstheme="minorHAnsi"/>
                <w:color w:val="000000"/>
                <w:sz w:val="22"/>
                <w:szCs w:val="22"/>
              </w:rPr>
              <w:t>114.700.000</w:t>
            </w:r>
          </w:p>
        </w:tc>
        <w:tc>
          <w:tcPr>
            <w:tcW w:w="2132" w:type="dxa"/>
          </w:tcPr>
          <w:p w14:paraId="0CE9D454" w14:textId="77777777" w:rsidR="00F82843" w:rsidRPr="00F82843" w:rsidRDefault="00F82843" w:rsidP="00D10E85">
            <w:pPr>
              <w:autoSpaceDE w:val="0"/>
              <w:autoSpaceDN w:val="0"/>
              <w:adjustRightInd w:val="0"/>
              <w:ind w:firstLine="510"/>
              <w:jc w:val="both"/>
              <w:rPr>
                <w:rFonts w:asciiTheme="minorHAnsi" w:hAnsiTheme="minorHAnsi" w:cstheme="minorHAnsi"/>
                <w:color w:val="000000"/>
                <w:sz w:val="22"/>
                <w:szCs w:val="22"/>
              </w:rPr>
            </w:pPr>
            <w:r w:rsidRPr="00F82843">
              <w:rPr>
                <w:rFonts w:asciiTheme="minorHAnsi" w:hAnsiTheme="minorHAnsi" w:cstheme="minorHAnsi"/>
                <w:color w:val="000000"/>
                <w:sz w:val="22"/>
                <w:szCs w:val="22"/>
              </w:rPr>
              <w:t>120.000.000</w:t>
            </w:r>
          </w:p>
        </w:tc>
      </w:tr>
      <w:tr w:rsidR="00F82843" w:rsidRPr="00F82843" w14:paraId="61DC251E" w14:textId="77777777" w:rsidTr="001C1785">
        <w:trPr>
          <w:jc w:val="center"/>
        </w:trPr>
        <w:tc>
          <w:tcPr>
            <w:tcW w:w="2132" w:type="dxa"/>
          </w:tcPr>
          <w:p w14:paraId="25599AB0" w14:textId="77777777" w:rsidR="00F82843" w:rsidRPr="00F82843" w:rsidRDefault="00F82843" w:rsidP="00D10E85">
            <w:pPr>
              <w:autoSpaceDE w:val="0"/>
              <w:autoSpaceDN w:val="0"/>
              <w:adjustRightInd w:val="0"/>
              <w:ind w:firstLine="510"/>
              <w:jc w:val="both"/>
              <w:rPr>
                <w:rFonts w:asciiTheme="minorHAnsi" w:hAnsiTheme="minorHAnsi" w:cstheme="minorHAnsi"/>
                <w:b/>
                <w:color w:val="000000"/>
                <w:sz w:val="22"/>
                <w:szCs w:val="22"/>
              </w:rPr>
            </w:pPr>
            <w:r w:rsidRPr="00F82843">
              <w:rPr>
                <w:rFonts w:asciiTheme="minorHAnsi" w:hAnsiTheme="minorHAnsi" w:cstheme="minorHAnsi"/>
                <w:b/>
                <w:color w:val="000000"/>
                <w:sz w:val="22"/>
                <w:szCs w:val="22"/>
              </w:rPr>
              <w:t>1878</w:t>
            </w:r>
          </w:p>
        </w:tc>
        <w:tc>
          <w:tcPr>
            <w:tcW w:w="2132" w:type="dxa"/>
          </w:tcPr>
          <w:p w14:paraId="79902315" w14:textId="77777777" w:rsidR="00F82843" w:rsidRPr="00F82843" w:rsidRDefault="00F82843" w:rsidP="00D10E85">
            <w:pPr>
              <w:autoSpaceDE w:val="0"/>
              <w:autoSpaceDN w:val="0"/>
              <w:adjustRightInd w:val="0"/>
              <w:ind w:firstLine="510"/>
              <w:jc w:val="both"/>
              <w:rPr>
                <w:rFonts w:asciiTheme="minorHAnsi" w:hAnsiTheme="minorHAnsi" w:cstheme="minorHAnsi"/>
                <w:color w:val="000000"/>
                <w:sz w:val="22"/>
                <w:szCs w:val="22"/>
              </w:rPr>
            </w:pPr>
            <w:r w:rsidRPr="00F82843">
              <w:rPr>
                <w:rFonts w:asciiTheme="minorHAnsi" w:hAnsiTheme="minorHAnsi" w:cstheme="minorHAnsi"/>
                <w:color w:val="000000"/>
                <w:sz w:val="22"/>
                <w:szCs w:val="22"/>
              </w:rPr>
              <w:t>435.000</w:t>
            </w:r>
          </w:p>
        </w:tc>
        <w:tc>
          <w:tcPr>
            <w:tcW w:w="2132" w:type="dxa"/>
          </w:tcPr>
          <w:p w14:paraId="299EDD78" w14:textId="77777777" w:rsidR="00F82843" w:rsidRPr="00F82843" w:rsidRDefault="00F82843" w:rsidP="00D10E85">
            <w:pPr>
              <w:autoSpaceDE w:val="0"/>
              <w:autoSpaceDN w:val="0"/>
              <w:adjustRightInd w:val="0"/>
              <w:ind w:firstLine="510"/>
              <w:jc w:val="both"/>
              <w:rPr>
                <w:rFonts w:asciiTheme="minorHAnsi" w:hAnsiTheme="minorHAnsi" w:cstheme="minorHAnsi"/>
                <w:color w:val="000000"/>
                <w:sz w:val="22"/>
                <w:szCs w:val="22"/>
              </w:rPr>
            </w:pPr>
            <w:r w:rsidRPr="00F82843">
              <w:rPr>
                <w:rFonts w:asciiTheme="minorHAnsi" w:hAnsiTheme="minorHAnsi" w:cstheme="minorHAnsi"/>
                <w:color w:val="000000"/>
                <w:sz w:val="22"/>
                <w:szCs w:val="22"/>
              </w:rPr>
              <w:t>217.500.000</w:t>
            </w:r>
          </w:p>
        </w:tc>
        <w:tc>
          <w:tcPr>
            <w:tcW w:w="2132" w:type="dxa"/>
          </w:tcPr>
          <w:p w14:paraId="4EA317FD" w14:textId="77777777" w:rsidR="00F82843" w:rsidRPr="00F82843" w:rsidRDefault="00F82843" w:rsidP="00D10E85">
            <w:pPr>
              <w:autoSpaceDE w:val="0"/>
              <w:autoSpaceDN w:val="0"/>
              <w:adjustRightInd w:val="0"/>
              <w:ind w:firstLine="510"/>
              <w:jc w:val="both"/>
              <w:rPr>
                <w:rFonts w:asciiTheme="minorHAnsi" w:hAnsiTheme="minorHAnsi" w:cstheme="minorHAnsi"/>
                <w:color w:val="000000"/>
                <w:sz w:val="22"/>
                <w:szCs w:val="22"/>
              </w:rPr>
            </w:pPr>
            <w:r w:rsidRPr="00F82843">
              <w:rPr>
                <w:rFonts w:asciiTheme="minorHAnsi" w:hAnsiTheme="minorHAnsi" w:cstheme="minorHAnsi"/>
                <w:color w:val="000000"/>
                <w:sz w:val="22"/>
                <w:szCs w:val="22"/>
              </w:rPr>
              <w:t>210.000.000</w:t>
            </w:r>
          </w:p>
        </w:tc>
      </w:tr>
    </w:tbl>
    <w:p w14:paraId="5588D26E" w14:textId="77777777" w:rsidR="00F82843" w:rsidRPr="00F82843" w:rsidRDefault="00F82843" w:rsidP="00D10E85">
      <w:pPr>
        <w:autoSpaceDE w:val="0"/>
        <w:autoSpaceDN w:val="0"/>
        <w:adjustRightInd w:val="0"/>
        <w:ind w:firstLine="510"/>
        <w:jc w:val="both"/>
        <w:rPr>
          <w:rFonts w:asciiTheme="minorHAnsi" w:hAnsiTheme="minorHAnsi" w:cstheme="minorHAnsi"/>
          <w:color w:val="000000"/>
          <w:sz w:val="22"/>
          <w:szCs w:val="22"/>
        </w:rPr>
      </w:pPr>
      <w:r w:rsidRPr="00F82843">
        <w:rPr>
          <w:rFonts w:asciiTheme="minorHAnsi" w:hAnsiTheme="minorHAnsi" w:cstheme="minorHAnsi"/>
          <w:color w:val="000000"/>
          <w:sz w:val="22"/>
          <w:szCs w:val="22"/>
        </w:rPr>
        <w:t xml:space="preserve">Η επέκταση όμως των </w:t>
      </w:r>
      <w:proofErr w:type="spellStart"/>
      <w:r w:rsidRPr="00F82843">
        <w:rPr>
          <w:rFonts w:asciiTheme="minorHAnsi" w:hAnsiTheme="minorHAnsi" w:cstheme="minorHAnsi"/>
          <w:color w:val="000000"/>
          <w:sz w:val="22"/>
          <w:szCs w:val="22"/>
        </w:rPr>
        <w:t>φυτειοκαλλιεργειών</w:t>
      </w:r>
      <w:proofErr w:type="spellEnd"/>
      <w:r w:rsidRPr="00F82843">
        <w:rPr>
          <w:rFonts w:asciiTheme="minorHAnsi" w:hAnsiTheme="minorHAnsi" w:cstheme="minorHAnsi"/>
          <w:color w:val="000000"/>
          <w:sz w:val="22"/>
          <w:szCs w:val="22"/>
        </w:rPr>
        <w:t xml:space="preserve"> επηρέασε αρνητικά την παραγωγή δημητριακών. Από την εποχή εκείνη σημειώνεται το χρόνιο έλλειμμα της χώρας με συνεπακόλουθο τη δαπάνη τεράστιων συναλλαγματικών αποθεμάτων για εισαγωγές.</w:t>
      </w:r>
    </w:p>
    <w:p w14:paraId="7CFD9A54" w14:textId="77777777" w:rsidR="00F82843" w:rsidRPr="00F82843" w:rsidRDefault="00F82843" w:rsidP="00D10E85">
      <w:pPr>
        <w:autoSpaceDE w:val="0"/>
        <w:autoSpaceDN w:val="0"/>
        <w:adjustRightInd w:val="0"/>
        <w:ind w:firstLine="510"/>
        <w:jc w:val="both"/>
        <w:rPr>
          <w:rFonts w:asciiTheme="minorHAnsi" w:hAnsiTheme="minorHAnsi" w:cstheme="minorHAnsi"/>
          <w:color w:val="000000"/>
          <w:sz w:val="22"/>
          <w:szCs w:val="22"/>
        </w:rPr>
      </w:pPr>
      <w:r w:rsidRPr="00F82843">
        <w:rPr>
          <w:rFonts w:asciiTheme="minorHAnsi" w:hAnsiTheme="minorHAnsi" w:cstheme="minorHAnsi"/>
          <w:color w:val="000000"/>
          <w:sz w:val="22"/>
          <w:szCs w:val="22"/>
        </w:rPr>
        <w:t>…………………………………………………………………………………………</w:t>
      </w:r>
    </w:p>
    <w:p w14:paraId="28167696" w14:textId="77777777" w:rsidR="00F82843" w:rsidRPr="00F82843" w:rsidRDefault="00F82843" w:rsidP="00D10E85">
      <w:pPr>
        <w:autoSpaceDE w:val="0"/>
        <w:autoSpaceDN w:val="0"/>
        <w:adjustRightInd w:val="0"/>
        <w:ind w:firstLine="510"/>
        <w:jc w:val="both"/>
        <w:rPr>
          <w:rFonts w:asciiTheme="minorHAnsi" w:hAnsiTheme="minorHAnsi" w:cstheme="minorHAnsi"/>
          <w:color w:val="000000"/>
          <w:sz w:val="22"/>
          <w:szCs w:val="22"/>
        </w:rPr>
      </w:pPr>
      <w:r w:rsidRPr="00F82843">
        <w:rPr>
          <w:rFonts w:asciiTheme="minorHAnsi" w:hAnsiTheme="minorHAnsi" w:cstheme="minorHAnsi"/>
          <w:color w:val="000000"/>
          <w:sz w:val="22"/>
          <w:szCs w:val="22"/>
        </w:rPr>
        <w:t xml:space="preserve">Η αγροτική μεταρρύθμιση έλυσε το πρόβλημα της εθνικής γης. Δεν έθιξε όμως καθόλου των μεγάλων ιδιωτικών εκτάσεων της Αττικής (170.000 στρέμματα ή 40% περίπου του συνόλου), τα οποία είχαν </w:t>
      </w:r>
      <w:proofErr w:type="spellStart"/>
      <w:r w:rsidRPr="00F82843">
        <w:rPr>
          <w:rFonts w:asciiTheme="minorHAnsi" w:hAnsiTheme="minorHAnsi" w:cstheme="minorHAnsi"/>
          <w:color w:val="000000"/>
          <w:sz w:val="22"/>
          <w:szCs w:val="22"/>
        </w:rPr>
        <w:t>τσιφλικοποιηθεί</w:t>
      </w:r>
      <w:proofErr w:type="spellEnd"/>
      <w:r w:rsidRPr="00F82843">
        <w:rPr>
          <w:rFonts w:asciiTheme="minorHAnsi" w:hAnsiTheme="minorHAnsi" w:cstheme="minorHAnsi"/>
          <w:color w:val="000000"/>
          <w:sz w:val="22"/>
          <w:szCs w:val="22"/>
        </w:rPr>
        <w:t xml:space="preserve"> από την εποχή της Ανεξαρτησίας. Οι γαιοκτήμονες των τσιφλικιών αυτών είχαν πετύχει μια σειρά δικαστικών αποφάσεων με τις οποίες του αναγνωρίζονταν τα δικαιώματα πλήρους ιδιοκτησίας.</w:t>
      </w:r>
    </w:p>
    <w:p w14:paraId="00D02BE4" w14:textId="77777777" w:rsidR="00F82843" w:rsidRPr="00F82843" w:rsidRDefault="00F82843" w:rsidP="00D10E85">
      <w:pPr>
        <w:autoSpaceDE w:val="0"/>
        <w:autoSpaceDN w:val="0"/>
        <w:adjustRightInd w:val="0"/>
        <w:ind w:firstLine="510"/>
        <w:jc w:val="both"/>
        <w:rPr>
          <w:rFonts w:asciiTheme="minorHAnsi" w:hAnsiTheme="minorHAnsi" w:cstheme="minorHAnsi"/>
          <w:color w:val="000000"/>
          <w:sz w:val="22"/>
          <w:szCs w:val="22"/>
        </w:rPr>
      </w:pPr>
      <w:r w:rsidRPr="00F82843">
        <w:rPr>
          <w:rFonts w:asciiTheme="minorHAnsi" w:hAnsiTheme="minorHAnsi" w:cstheme="minorHAnsi"/>
          <w:color w:val="000000"/>
          <w:sz w:val="22"/>
          <w:szCs w:val="22"/>
        </w:rPr>
        <w:t>Παρά τις σημαντικές βελτιώσεις που σημειώθηκαν στον αγροτικό τομέα στη δεκαετία αυτή, η γεωργία θα συνεχίσει ακόμη για καιρό να υποφέρει από βασικές ελλείψεις: Η αγροτική δανειοδότηση παρέμεινε υποτυπώδης. Η εισαγωγή νεωτεριστικών μεθόδων καλλιέργειας, κυρίως με τη χρησιμοποίηση λιπασμάτων, δεν προχώρησε. Το ανύπαρκτο οδικό δίκτυο και η έλλειψη μεταφορικών μέσων στις περισσότερες περιφέρειες δεν επέτρεπε την εμπορία αγροτικών προϊόντων σε μεγάλη έκταση, με αποτέλεσμα ένα μεγάλο ποσοστό αγροτών να περιορίζεται σε καλλιέργειες που μόλις επαρκούν για τις βιοτικές ανάγκες των οικογενειών τους.</w:t>
      </w:r>
    </w:p>
    <w:p w14:paraId="4D3083AC" w14:textId="77777777" w:rsidR="00F82843" w:rsidRPr="00F82843" w:rsidRDefault="00F82843" w:rsidP="00F82843">
      <w:pPr>
        <w:autoSpaceDE w:val="0"/>
        <w:autoSpaceDN w:val="0"/>
        <w:adjustRightInd w:val="0"/>
        <w:jc w:val="right"/>
        <w:rPr>
          <w:rFonts w:asciiTheme="minorHAnsi" w:hAnsiTheme="minorHAnsi" w:cstheme="minorHAnsi"/>
          <w:color w:val="000000"/>
          <w:sz w:val="22"/>
          <w:szCs w:val="22"/>
        </w:rPr>
      </w:pPr>
      <w:r w:rsidRPr="00F82843">
        <w:rPr>
          <w:rFonts w:asciiTheme="minorHAnsi" w:hAnsiTheme="minorHAnsi" w:cstheme="minorHAnsi"/>
          <w:color w:val="000000"/>
          <w:sz w:val="22"/>
          <w:szCs w:val="22"/>
        </w:rPr>
        <w:t xml:space="preserve">Ιστορία του Ελληνικού Έθνους, τόμος ΙΓ΄, </w:t>
      </w:r>
      <w:proofErr w:type="spellStart"/>
      <w:r w:rsidRPr="00F82843">
        <w:rPr>
          <w:rFonts w:asciiTheme="minorHAnsi" w:hAnsiTheme="minorHAnsi" w:cstheme="minorHAnsi"/>
          <w:color w:val="000000"/>
          <w:sz w:val="22"/>
          <w:szCs w:val="22"/>
        </w:rPr>
        <w:t>σσ</w:t>
      </w:r>
      <w:proofErr w:type="spellEnd"/>
      <w:r w:rsidRPr="00F82843">
        <w:rPr>
          <w:rFonts w:asciiTheme="minorHAnsi" w:hAnsiTheme="minorHAnsi" w:cstheme="minorHAnsi"/>
          <w:color w:val="000000"/>
          <w:sz w:val="22"/>
          <w:szCs w:val="22"/>
        </w:rPr>
        <w:t>. 310-311</w:t>
      </w:r>
    </w:p>
    <w:p w14:paraId="59384004" w14:textId="77777777" w:rsidR="00ED6869" w:rsidRPr="00F82843" w:rsidRDefault="00ED6869">
      <w:pPr>
        <w:rPr>
          <w:rFonts w:asciiTheme="minorHAnsi" w:hAnsiTheme="minorHAnsi" w:cstheme="minorHAnsi"/>
        </w:rPr>
      </w:pPr>
    </w:p>
    <w:sectPr w:rsidR="00ED6869" w:rsidRPr="00F82843" w:rsidSect="00817124">
      <w:pgSz w:w="12240" w:h="15840"/>
      <w:pgMar w:top="720" w:right="720" w:bottom="28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0002AFF" w:usb1="4000ACFF" w:usb2="00000001" w:usb3="00000000" w:csb0="000001FF" w:csb1="00000000"/>
  </w:font>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3" w:usb2="00000009" w:usb3="00000000" w:csb0="000001FF" w:csb1="00000000"/>
  </w:font>
  <w:font w:name="Calibri Light">
    <w:panose1 w:val="020F0302020204030204"/>
    <w:charset w:val="A1"/>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843"/>
    <w:rsid w:val="00471414"/>
    <w:rsid w:val="00817124"/>
    <w:rsid w:val="009F0DC5"/>
    <w:rsid w:val="00D10E85"/>
    <w:rsid w:val="00ED6869"/>
    <w:rsid w:val="00F828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D0B92"/>
  <w15:chartTrackingRefBased/>
  <w15:docId w15:val="{1EEC09FA-83F9-48CE-86BD-553D0F96B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2843"/>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682</Words>
  <Characters>3688</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ΦΩΤΕΙΝΗ ΣΑΦΛΑΓΙΟΥΡΑ</dc:creator>
  <cp:keywords/>
  <dc:description/>
  <cp:lastModifiedBy>ΦΩΤΕΙΝΗ ΣΑΦΛΑΓΙΟΥΡΑ</cp:lastModifiedBy>
  <cp:revision>3</cp:revision>
  <cp:lastPrinted>2020-09-27T21:44:00Z</cp:lastPrinted>
  <dcterms:created xsi:type="dcterms:W3CDTF">2019-09-22T22:30:00Z</dcterms:created>
  <dcterms:modified xsi:type="dcterms:W3CDTF">2020-09-27T21:45:00Z</dcterms:modified>
</cp:coreProperties>
</file>