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5A361" w14:textId="5D2046C2" w:rsidR="00380110" w:rsidRPr="00C37415" w:rsidRDefault="009571DF" w:rsidP="00675E15">
      <w:pPr>
        <w:spacing w:after="60"/>
        <w:rPr>
          <w:rFonts w:ascii="PF Sugar" w:hAnsi="PF Sugar"/>
          <w:b/>
          <w:sz w:val="40"/>
          <w:szCs w:val="40"/>
        </w:rPr>
      </w:pPr>
      <w:r>
        <w:rPr>
          <w:rFonts w:ascii="PF Sugar" w:hAnsi="PF Sugar"/>
          <w:noProof/>
          <w:sz w:val="32"/>
          <w:szCs w:val="32"/>
          <w:lang w:eastAsia="el-GR"/>
        </w:rPr>
        <w:drawing>
          <wp:anchor distT="0" distB="0" distL="114300" distR="114300" simplePos="0" relativeHeight="251658240" behindDoc="1" locked="0" layoutInCell="1" allowOverlap="1" wp14:anchorId="233ABBE4" wp14:editId="5EB6714E">
            <wp:simplePos x="0" y="0"/>
            <wp:positionH relativeFrom="column">
              <wp:posOffset>5638358</wp:posOffset>
            </wp:positionH>
            <wp:positionV relativeFrom="paragraph">
              <wp:posOffset>359603</wp:posOffset>
            </wp:positionV>
            <wp:extent cx="1075055" cy="1303655"/>
            <wp:effectExtent l="0" t="57150" r="10795" b="67945"/>
            <wp:wrapTight wrapText="bothSides">
              <wp:wrapPolygon edited="0">
                <wp:start x="16118" y="-527"/>
                <wp:lineTo x="10370" y="-744"/>
                <wp:lineTo x="9683" y="4275"/>
                <wp:lineTo x="5880" y="3921"/>
                <wp:lineTo x="5193" y="8939"/>
                <wp:lineTo x="2151" y="8656"/>
                <wp:lineTo x="-750" y="21409"/>
                <wp:lineTo x="1152" y="21586"/>
                <wp:lineTo x="1575" y="21308"/>
                <wp:lineTo x="7243" y="19294"/>
                <wp:lineTo x="13635" y="14807"/>
                <wp:lineTo x="22235" y="5442"/>
                <wp:lineTo x="19283" y="1674"/>
                <wp:lineTo x="17639" y="-385"/>
                <wp:lineTo x="16118" y="-527"/>
              </wp:wrapPolygon>
            </wp:wrapTight>
            <wp:docPr id="1" name="0 - Εικόνα" descr="4i9Ejxr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i9EjxrRT.png"/>
                    <pic:cNvPicPr/>
                  </pic:nvPicPr>
                  <pic:blipFill>
                    <a:blip r:embed="rId4" cstate="print">
                      <a:lum bright="20000"/>
                    </a:blip>
                    <a:stretch>
                      <a:fillRect/>
                    </a:stretch>
                  </pic:blipFill>
                  <pic:spPr>
                    <a:xfrm rot="21213809">
                      <a:off x="0" y="0"/>
                      <a:ext cx="1075055" cy="1303655"/>
                    </a:xfrm>
                    <a:prstGeom prst="rect">
                      <a:avLst/>
                    </a:prstGeom>
                  </pic:spPr>
                </pic:pic>
              </a:graphicData>
            </a:graphic>
            <wp14:sizeRelH relativeFrom="margin">
              <wp14:pctWidth>0</wp14:pctWidth>
            </wp14:sizeRelH>
            <wp14:sizeRelV relativeFrom="margin">
              <wp14:pctHeight>0</wp14:pctHeight>
            </wp14:sizeRelV>
          </wp:anchor>
        </w:drawing>
      </w:r>
      <w:r w:rsidR="00EF069C">
        <w:rPr>
          <w:rFonts w:ascii="PF Sugar" w:hAnsi="PF Sugar"/>
          <w:noProof/>
          <w:sz w:val="32"/>
          <w:szCs w:val="32"/>
          <w:lang w:eastAsia="el-GR"/>
        </w:rPr>
        <w:t xml:space="preserve">   </w:t>
      </w:r>
      <w:r w:rsidR="00EF069C">
        <w:rPr>
          <w:rFonts w:ascii="PF Sugar" w:hAnsi="PF Sugar"/>
          <w:noProof/>
          <w:sz w:val="32"/>
          <w:szCs w:val="32"/>
          <w:lang w:eastAsia="el-GR"/>
        </w:rPr>
        <w:tab/>
      </w:r>
      <w:r w:rsidR="00EF069C">
        <w:rPr>
          <w:rFonts w:ascii="PF Sugar" w:hAnsi="PF Sugar"/>
          <w:noProof/>
          <w:sz w:val="32"/>
          <w:szCs w:val="32"/>
          <w:lang w:eastAsia="el-GR"/>
        </w:rPr>
        <w:tab/>
      </w:r>
      <w:r w:rsidR="00675E15">
        <w:rPr>
          <w:rFonts w:ascii="PF Sugar" w:hAnsi="PF Sugar"/>
          <w:noProof/>
          <w:sz w:val="32"/>
          <w:szCs w:val="32"/>
          <w:lang w:eastAsia="el-GR"/>
        </w:rPr>
        <w:tab/>
      </w:r>
      <w:r w:rsidR="008C47A7" w:rsidRPr="009571DF">
        <w:rPr>
          <w:rFonts w:ascii="PF Sugar" w:hAnsi="PF Sugar"/>
          <w:b/>
          <w:color w:val="C00000"/>
          <w:sz w:val="40"/>
          <w:szCs w:val="40"/>
        </w:rPr>
        <w:t>Η διανομή των εθνικών κτημάτων</w:t>
      </w:r>
    </w:p>
    <w:p w14:paraId="4E680D50" w14:textId="3B704553" w:rsidR="009571DF" w:rsidRDefault="009571DF" w:rsidP="00675E15">
      <w:pPr>
        <w:spacing w:after="60" w:line="240" w:lineRule="auto"/>
        <w:ind w:firstLine="720"/>
        <w:jc w:val="both"/>
        <w:rPr>
          <w:b/>
          <w:sz w:val="28"/>
          <w:szCs w:val="28"/>
        </w:rPr>
      </w:pPr>
    </w:p>
    <w:p w14:paraId="2D29B188" w14:textId="08D396E0" w:rsidR="00C37415" w:rsidRDefault="00C37415" w:rsidP="00675E15">
      <w:pPr>
        <w:spacing w:after="60" w:line="240" w:lineRule="auto"/>
        <w:ind w:firstLine="720"/>
        <w:jc w:val="both"/>
        <w:rPr>
          <w:rFonts w:cstheme="minorHAnsi"/>
          <w:i/>
          <w:sz w:val="28"/>
          <w:szCs w:val="28"/>
        </w:rPr>
      </w:pPr>
      <w:r w:rsidRPr="009571DF">
        <w:rPr>
          <w:b/>
          <w:sz w:val="28"/>
          <w:szCs w:val="28"/>
        </w:rPr>
        <w:t>Ερώτηση</w:t>
      </w:r>
      <w:r w:rsidRPr="009571DF">
        <w:rPr>
          <w:sz w:val="28"/>
          <w:szCs w:val="28"/>
        </w:rPr>
        <w:t>:</w:t>
      </w:r>
      <w:r w:rsidRPr="009571DF">
        <w:rPr>
          <w:rFonts w:cstheme="minorHAnsi"/>
          <w:sz w:val="28"/>
          <w:szCs w:val="28"/>
        </w:rPr>
        <w:t xml:space="preserve"> </w:t>
      </w:r>
      <w:r w:rsidRPr="009571DF">
        <w:rPr>
          <w:rFonts w:cstheme="minorHAnsi"/>
          <w:i/>
          <w:sz w:val="28"/>
          <w:szCs w:val="28"/>
        </w:rPr>
        <w:t xml:space="preserve">Αντλώντας στοιχεία από το παραπάνω κείμενο και αξιοποιώντας τις ιστορικές σας γνώσεις να αναφέρετε </w:t>
      </w:r>
      <w:r w:rsidRPr="009571DF">
        <w:rPr>
          <w:rFonts w:cstheme="minorHAnsi"/>
          <w:b/>
          <w:i/>
          <w:sz w:val="28"/>
          <w:szCs w:val="28"/>
        </w:rPr>
        <w:t xml:space="preserve">με ποιο τρόπο χρησιμοποιήθηκαν </w:t>
      </w:r>
      <w:r w:rsidRPr="009571DF">
        <w:rPr>
          <w:rFonts w:cstheme="minorHAnsi"/>
          <w:i/>
          <w:sz w:val="28"/>
          <w:szCs w:val="28"/>
        </w:rPr>
        <w:t xml:space="preserve">από τις επαναστατικές κυβερνήσεις τα εθνικά κτήματα και </w:t>
      </w:r>
      <w:r w:rsidRPr="009571DF">
        <w:rPr>
          <w:rFonts w:cstheme="minorHAnsi"/>
          <w:b/>
          <w:i/>
          <w:sz w:val="28"/>
          <w:szCs w:val="28"/>
        </w:rPr>
        <w:t>τους λόγους για τους οποίους δεν έγινε η διανομή τους στα πρώτα χρόνια</w:t>
      </w:r>
      <w:r w:rsidRPr="009571DF">
        <w:rPr>
          <w:rFonts w:cstheme="minorHAnsi"/>
          <w:i/>
          <w:sz w:val="28"/>
          <w:szCs w:val="28"/>
        </w:rPr>
        <w:t xml:space="preserve"> της ανεξαρτησίας.</w:t>
      </w:r>
    </w:p>
    <w:p w14:paraId="384FB690" w14:textId="77777777" w:rsidR="009571DF" w:rsidRPr="009571DF" w:rsidRDefault="009571DF" w:rsidP="00675E15">
      <w:pPr>
        <w:spacing w:after="60" w:line="240" w:lineRule="auto"/>
        <w:ind w:firstLine="720"/>
        <w:jc w:val="both"/>
        <w:rPr>
          <w:rFonts w:cstheme="minorHAnsi"/>
          <w:sz w:val="28"/>
          <w:szCs w:val="28"/>
        </w:rPr>
      </w:pPr>
    </w:p>
    <w:p w14:paraId="338C7A76" w14:textId="77777777" w:rsidR="005654E4" w:rsidRPr="009571DF" w:rsidRDefault="00C37415" w:rsidP="00C37415">
      <w:pPr>
        <w:spacing w:after="60" w:line="240" w:lineRule="auto"/>
        <w:ind w:firstLine="720"/>
        <w:jc w:val="both"/>
        <w:rPr>
          <w:sz w:val="28"/>
          <w:szCs w:val="28"/>
        </w:rPr>
      </w:pPr>
      <w:r w:rsidRPr="009571DF">
        <w:rPr>
          <w:sz w:val="28"/>
          <w:szCs w:val="28"/>
        </w:rPr>
        <w:t>«Η</w:t>
      </w:r>
      <w:r w:rsidR="005654E4" w:rsidRPr="009571DF">
        <w:rPr>
          <w:sz w:val="28"/>
          <w:szCs w:val="28"/>
        </w:rPr>
        <w:t xml:space="preserve"> κατάσταση είναι τελείως διαφορετική στην Ελλάδα. Το Σύνταγμα του 1822 όριζε ότι τα τουρκικά κτήματα θα γίνονταν «εθνικές γαίες». Έτσι, περισσότερες από τις μισές καλλιεργήσιμες γαίες (70% περίπου) πέρασαν στα χέρια της ελληνικής κυβέρνησης. Τα 2/3 του αγροτικού πληθυσμού ζούσαν στις εθνικές γαίες. Σύντομα οι καλλιεργητές έγιναν </w:t>
      </w:r>
      <w:r w:rsidR="005654E4" w:rsidRPr="009571DF">
        <w:rPr>
          <w:sz w:val="28"/>
          <w:szCs w:val="28"/>
          <w:lang w:val="en-US"/>
        </w:rPr>
        <w:t>de</w:t>
      </w:r>
      <w:r w:rsidR="005654E4" w:rsidRPr="009571DF">
        <w:rPr>
          <w:sz w:val="28"/>
          <w:szCs w:val="28"/>
        </w:rPr>
        <w:t xml:space="preserve"> </w:t>
      </w:r>
      <w:r w:rsidR="005654E4" w:rsidRPr="009571DF">
        <w:rPr>
          <w:sz w:val="28"/>
          <w:szCs w:val="28"/>
          <w:lang w:val="en-US"/>
        </w:rPr>
        <w:t>facto</w:t>
      </w:r>
      <w:r w:rsidRPr="009571DF">
        <w:rPr>
          <w:sz w:val="28"/>
          <w:szCs w:val="28"/>
        </w:rPr>
        <w:t>*</w:t>
      </w:r>
      <w:r w:rsidR="005654E4" w:rsidRPr="009571DF">
        <w:rPr>
          <w:sz w:val="28"/>
          <w:szCs w:val="28"/>
        </w:rPr>
        <w:t xml:space="preserve"> ιδιοκτήτες πληρώνοντας ένα είδος φόρου ιδιοκτησίας. Οι αγρότες πλήρωναν τη δεκάτη σε είδος και ένα επιπλέον 15% επί του προϊόντος αν καλλιεργούσαν εθνικές γαίες. Αξίζει στο σημείο αυτό να σημειώσουμε μια εξαίρεση: στις περιοχές όπου καλλιεργούσαν σταφίδα ο φόρος ήταν χρηματικός. Ο Καποδίστριας θέλησε να προχωρησει στην διανομή των εθνικών γαιών. Οι Μεγάλες Δυνάμεις όμως αντέδρασαν γιατί επιθυμούσαν να τις διατηρήσουν ως εγγύηση για τα εθνικά δάνεια. Η κατάσταση δεν αλλαξε τα επόμενα χρόνια. Το αποτέλεσμα αυτής της πολιτικής θα είναι μια συνεχής «κρίση διανομής</w:t>
      </w:r>
      <w:r w:rsidR="008C47A7" w:rsidRPr="009571DF">
        <w:rPr>
          <w:sz w:val="28"/>
          <w:szCs w:val="28"/>
        </w:rPr>
        <w:t>», που δε θα λυθεί παρά τον 20ό αιώνα.</w:t>
      </w:r>
    </w:p>
    <w:p w14:paraId="2F42C25B" w14:textId="74C0F89A" w:rsidR="008C47A7" w:rsidRDefault="008C47A7" w:rsidP="00C37415">
      <w:pPr>
        <w:spacing w:after="60" w:line="240" w:lineRule="auto"/>
        <w:ind w:firstLine="720"/>
        <w:jc w:val="both"/>
        <w:rPr>
          <w:sz w:val="28"/>
          <w:szCs w:val="28"/>
        </w:rPr>
      </w:pPr>
      <w:r w:rsidRPr="009571DF">
        <w:rPr>
          <w:sz w:val="28"/>
          <w:szCs w:val="28"/>
        </w:rPr>
        <w:t>Αξίζει παράλληλα μιλώντας για την Ελλάδα, να σημειώσουμε το καθεστώς των τσιφλικιών στην Αττική, στη Βοιωτία και στην Εύβοια. Η προσάρτηση αυτών των περιοχών στηρίχτηκε σε ένα ιδιαίτερο κείμενο, το Πρωτόκολλο του 1830, το οποίο αναγνώριζε τα κεκτημένα δικαιώματα των Οθωμανών που παρέμειναν στις περιοχές αυτές. Αυτά τα κτήματα δεν περιλαμβάνονταν στις εθνικές γαίες. Οι Τούρκοι είχαν δικαίωμα να τα πουλήσουν, πράγμα που έκαναν δίνοντάς τα σε πλούσιους Έλληνες, οι οποίοι έγιναν έτσι μεγαλοκτηματίες</w:t>
      </w:r>
      <w:r w:rsidR="00C37415" w:rsidRPr="009571DF">
        <w:rPr>
          <w:sz w:val="28"/>
          <w:szCs w:val="28"/>
        </w:rPr>
        <w:t>»</w:t>
      </w:r>
      <w:r w:rsidRPr="009571DF">
        <w:rPr>
          <w:sz w:val="28"/>
          <w:szCs w:val="28"/>
        </w:rPr>
        <w:t>.</w:t>
      </w:r>
    </w:p>
    <w:p w14:paraId="2A0E2029" w14:textId="77777777" w:rsidR="009571DF" w:rsidRPr="009571DF" w:rsidRDefault="009571DF" w:rsidP="00C37415">
      <w:pPr>
        <w:spacing w:after="60" w:line="240" w:lineRule="auto"/>
        <w:ind w:firstLine="720"/>
        <w:jc w:val="both"/>
        <w:rPr>
          <w:sz w:val="28"/>
          <w:szCs w:val="28"/>
        </w:rPr>
      </w:pPr>
    </w:p>
    <w:p w14:paraId="6CD9A5F7" w14:textId="77777777" w:rsidR="009571DF" w:rsidRDefault="008C47A7" w:rsidP="00C37415">
      <w:pPr>
        <w:spacing w:after="60" w:line="240" w:lineRule="auto"/>
        <w:jc w:val="right"/>
        <w:rPr>
          <w:i/>
          <w:sz w:val="28"/>
          <w:szCs w:val="28"/>
        </w:rPr>
      </w:pPr>
      <w:r w:rsidRPr="009571DF">
        <w:rPr>
          <w:i/>
          <w:sz w:val="28"/>
          <w:szCs w:val="28"/>
        </w:rPr>
        <w:t>Κοππά Μαριλένα, Η συγκρότηση των κρατών στα Βαλκάνια (19</w:t>
      </w:r>
      <w:r w:rsidRPr="009571DF">
        <w:rPr>
          <w:i/>
          <w:sz w:val="28"/>
          <w:szCs w:val="28"/>
          <w:vertAlign w:val="superscript"/>
        </w:rPr>
        <w:t>ος</w:t>
      </w:r>
      <w:r w:rsidRPr="009571DF">
        <w:rPr>
          <w:i/>
          <w:sz w:val="28"/>
          <w:szCs w:val="28"/>
        </w:rPr>
        <w:t xml:space="preserve"> αι.), Τρεις και μια περιπέτειες, Εκδοτικός οίκος Α.Α.Λιβάνη, Αθήνα 2002, σς. 179-180.</w:t>
      </w:r>
    </w:p>
    <w:p w14:paraId="2F26ED75" w14:textId="651B8C13" w:rsidR="008C47A7" w:rsidRPr="009571DF" w:rsidRDefault="008C47A7" w:rsidP="00C37415">
      <w:pPr>
        <w:spacing w:after="60" w:line="240" w:lineRule="auto"/>
        <w:jc w:val="right"/>
        <w:rPr>
          <w:i/>
          <w:sz w:val="28"/>
          <w:szCs w:val="28"/>
        </w:rPr>
      </w:pPr>
      <w:r w:rsidRPr="009571DF">
        <w:rPr>
          <w:i/>
          <w:sz w:val="28"/>
          <w:szCs w:val="28"/>
        </w:rPr>
        <w:t xml:space="preserve"> </w:t>
      </w:r>
    </w:p>
    <w:p w14:paraId="03707787" w14:textId="77777777" w:rsidR="008C47A7" w:rsidRPr="009571DF" w:rsidRDefault="00C37415" w:rsidP="00675E15">
      <w:pPr>
        <w:spacing w:after="60" w:line="240" w:lineRule="auto"/>
        <w:rPr>
          <w:sz w:val="28"/>
          <w:szCs w:val="28"/>
        </w:rPr>
      </w:pPr>
      <w:r w:rsidRPr="009571DF">
        <w:rPr>
          <w:b/>
          <w:sz w:val="28"/>
          <w:szCs w:val="28"/>
        </w:rPr>
        <w:t>*</w:t>
      </w:r>
      <w:r w:rsidRPr="009571DF">
        <w:rPr>
          <w:b/>
          <w:sz w:val="28"/>
          <w:szCs w:val="28"/>
          <w:lang w:val="en-US"/>
        </w:rPr>
        <w:t>d</w:t>
      </w:r>
      <w:r w:rsidR="008C47A7" w:rsidRPr="009571DF">
        <w:rPr>
          <w:b/>
          <w:sz w:val="28"/>
          <w:szCs w:val="28"/>
          <w:lang w:val="en-US"/>
        </w:rPr>
        <w:t>e</w:t>
      </w:r>
      <w:r w:rsidR="008C47A7" w:rsidRPr="009571DF">
        <w:rPr>
          <w:b/>
          <w:sz w:val="28"/>
          <w:szCs w:val="28"/>
        </w:rPr>
        <w:t xml:space="preserve"> </w:t>
      </w:r>
      <w:r w:rsidR="008C47A7" w:rsidRPr="009571DF">
        <w:rPr>
          <w:b/>
          <w:sz w:val="28"/>
          <w:szCs w:val="28"/>
          <w:lang w:val="en-US"/>
        </w:rPr>
        <w:t>facto</w:t>
      </w:r>
      <w:r w:rsidR="008C47A7" w:rsidRPr="009571DF">
        <w:rPr>
          <w:b/>
          <w:sz w:val="28"/>
          <w:szCs w:val="28"/>
        </w:rPr>
        <w:t>:</w:t>
      </w:r>
      <w:r w:rsidR="008C47A7" w:rsidRPr="009571DF">
        <w:rPr>
          <w:sz w:val="28"/>
          <w:szCs w:val="28"/>
        </w:rPr>
        <w:t xml:space="preserve"> όρος που δηλώνει ότι μια κατάσταση αναγνωρίζεται ως γεγονός από τα ίδια τα πράγματα.</w:t>
      </w:r>
    </w:p>
    <w:p w14:paraId="0CA6173D" w14:textId="77777777" w:rsidR="00D34771" w:rsidRPr="009571DF" w:rsidRDefault="00D34771" w:rsidP="00C37415">
      <w:pPr>
        <w:spacing w:after="60" w:line="240" w:lineRule="auto"/>
        <w:jc w:val="both"/>
        <w:rPr>
          <w:sz w:val="28"/>
          <w:szCs w:val="28"/>
        </w:rPr>
      </w:pPr>
    </w:p>
    <w:p w14:paraId="5AD6448B" w14:textId="5A656239" w:rsidR="00675E15" w:rsidRPr="009571DF" w:rsidRDefault="00675E15" w:rsidP="00C37415">
      <w:pPr>
        <w:spacing w:after="60" w:line="240" w:lineRule="auto"/>
        <w:jc w:val="both"/>
        <w:rPr>
          <w:sz w:val="28"/>
          <w:szCs w:val="28"/>
        </w:rPr>
      </w:pPr>
    </w:p>
    <w:p w14:paraId="691069FA" w14:textId="77777777" w:rsidR="00675E15" w:rsidRPr="009571DF" w:rsidRDefault="00675E15" w:rsidP="00C37415">
      <w:pPr>
        <w:spacing w:after="60" w:line="240" w:lineRule="auto"/>
        <w:jc w:val="both"/>
        <w:rPr>
          <w:sz w:val="28"/>
          <w:szCs w:val="28"/>
        </w:rPr>
      </w:pPr>
    </w:p>
    <w:p w14:paraId="67451266" w14:textId="5761B4E4" w:rsidR="00675E15" w:rsidRPr="009571DF" w:rsidRDefault="00675E15" w:rsidP="009571DF">
      <w:pPr>
        <w:spacing w:after="60"/>
        <w:rPr>
          <w:sz w:val="28"/>
          <w:szCs w:val="28"/>
        </w:rPr>
      </w:pPr>
      <w:r w:rsidRPr="009571DF">
        <w:rPr>
          <w:noProof/>
          <w:sz w:val="28"/>
          <w:szCs w:val="28"/>
          <w:lang w:eastAsia="el-GR"/>
        </w:rPr>
        <w:tab/>
      </w:r>
      <w:r w:rsidRPr="009571DF">
        <w:rPr>
          <w:noProof/>
          <w:sz w:val="28"/>
          <w:szCs w:val="28"/>
          <w:lang w:eastAsia="el-GR"/>
        </w:rPr>
        <w:tab/>
      </w:r>
      <w:r w:rsidRPr="009571DF">
        <w:rPr>
          <w:noProof/>
          <w:sz w:val="28"/>
          <w:szCs w:val="28"/>
          <w:lang w:eastAsia="el-GR"/>
        </w:rPr>
        <w:tab/>
      </w:r>
    </w:p>
    <w:p w14:paraId="5FDFAE9E" w14:textId="77777777" w:rsidR="008C47A7" w:rsidRPr="009571DF" w:rsidRDefault="008C47A7" w:rsidP="00675E15">
      <w:pPr>
        <w:rPr>
          <w:sz w:val="28"/>
          <w:szCs w:val="28"/>
        </w:rPr>
      </w:pPr>
    </w:p>
    <w:sectPr w:rsidR="008C47A7" w:rsidRPr="009571DF" w:rsidSect="00D34771">
      <w:pgSz w:w="11906" w:h="16838"/>
      <w:pgMar w:top="851"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F Sugar">
    <w:altName w:val="Calibri"/>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E4"/>
    <w:rsid w:val="002F2C10"/>
    <w:rsid w:val="00380110"/>
    <w:rsid w:val="004A7DAD"/>
    <w:rsid w:val="005654E4"/>
    <w:rsid w:val="00675E15"/>
    <w:rsid w:val="007E67C7"/>
    <w:rsid w:val="007F5EC8"/>
    <w:rsid w:val="008C47A7"/>
    <w:rsid w:val="009571DF"/>
    <w:rsid w:val="00C37415"/>
    <w:rsid w:val="00C947F7"/>
    <w:rsid w:val="00D34771"/>
    <w:rsid w:val="00EF06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FDE8"/>
  <w15:docId w15:val="{707A5EAA-8DFB-48AB-B84E-A82E97F8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1711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3</cp:revision>
  <dcterms:created xsi:type="dcterms:W3CDTF">2020-11-24T11:11:00Z</dcterms:created>
  <dcterms:modified xsi:type="dcterms:W3CDTF">2020-11-24T11:13:00Z</dcterms:modified>
</cp:coreProperties>
</file>