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B6E4B" w14:textId="1CDCB306" w:rsidR="009F2B89" w:rsidRPr="006C3A48" w:rsidRDefault="00E84181" w:rsidP="00E84181">
      <w:pPr>
        <w:jc w:val="center"/>
        <w:rPr>
          <w:b/>
          <w:bCs/>
          <w:color w:val="C00000"/>
          <w:sz w:val="32"/>
          <w:szCs w:val="32"/>
        </w:rPr>
      </w:pPr>
      <w:r w:rsidRPr="006C3A48">
        <w:rPr>
          <w:b/>
          <w:bCs/>
          <w:color w:val="C00000"/>
          <w:sz w:val="32"/>
          <w:szCs w:val="32"/>
        </w:rPr>
        <w:t>ΠΗΓΗ ΓΙΑ ΤΗΝ ΠΑΡΑΚΜΗ ΤΩΝ ΞΕΝΙΚΩΝ ΚΟΜΜΑΤΩΝ</w:t>
      </w:r>
    </w:p>
    <w:p w14:paraId="76AB0C41" w14:textId="154337D6" w:rsidR="00E84181" w:rsidRDefault="00E84181"/>
    <w:p w14:paraId="371EA148" w14:textId="7DB42605" w:rsidR="00E84181" w:rsidRPr="00137337" w:rsidRDefault="00E84181" w:rsidP="00E84181">
      <w:pPr>
        <w:jc w:val="both"/>
        <w:rPr>
          <w:i/>
          <w:iCs/>
        </w:rPr>
      </w:pPr>
      <w:r w:rsidRPr="00137337">
        <w:rPr>
          <w:i/>
          <w:iCs/>
        </w:rPr>
        <w:t xml:space="preserve">Αντλώντας στοιχεία από τα </w:t>
      </w:r>
      <w:r w:rsidR="000009C4">
        <w:rPr>
          <w:i/>
          <w:iCs/>
        </w:rPr>
        <w:t>παραθέματα</w:t>
      </w:r>
      <w:r w:rsidRPr="00137337">
        <w:rPr>
          <w:i/>
          <w:iCs/>
        </w:rPr>
        <w:t xml:space="preserve"> που ακολουθούν και με βάση τις ιστορικές σας γνώσεις να παρουσιάσετε τους λόγους που συντέλεσαν στην παρακμή των «ξενικών» κομμάτων κατά την περίοδο της συνταγματικής μοναρχίας.</w:t>
      </w:r>
    </w:p>
    <w:p w14:paraId="187FED94" w14:textId="273268FE" w:rsidR="00E84181" w:rsidRPr="00D53EB5" w:rsidRDefault="000009C4" w:rsidP="00E84181">
      <w:pPr>
        <w:jc w:val="both"/>
        <w:rPr>
          <w:b/>
          <w:bCs/>
          <w:color w:val="C00000"/>
        </w:rPr>
      </w:pPr>
      <w:r>
        <w:rPr>
          <w:b/>
          <w:bCs/>
          <w:color w:val="C00000"/>
        </w:rPr>
        <w:t>ΠΑΡΑΘΕΜΑ</w:t>
      </w:r>
      <w:r w:rsidR="00E84181" w:rsidRPr="00D53EB5">
        <w:rPr>
          <w:b/>
          <w:bCs/>
          <w:color w:val="C00000"/>
        </w:rPr>
        <w:t xml:space="preserve"> Α΄</w:t>
      </w:r>
    </w:p>
    <w:p w14:paraId="08CC18CF" w14:textId="7C406F57" w:rsidR="00E84181" w:rsidRDefault="00E84181" w:rsidP="00E84181">
      <w:pPr>
        <w:jc w:val="both"/>
      </w:pPr>
      <w:r>
        <w:t>Υποστηρίχθηκε [...] ότι η μη ανάπτυξη του κοινοβουλευτισμού, στην περίοδος της συνταγματικής μοναρχίας, δεν οφείλονταν στο «πλημμελές</w:t>
      </w:r>
      <w:r w:rsidR="00914A55">
        <w:t>»</w:t>
      </w:r>
      <w:r>
        <w:t xml:space="preserve"> των διατάξεων του Συντάγματος</w:t>
      </w:r>
      <w:r w:rsidR="00914A55">
        <w:t>, αλλά στην μη εφαρμογή του από τον Όθωνα και στις εσκεμμένες παραβιάσεις του.</w:t>
      </w:r>
    </w:p>
    <w:p w14:paraId="04CC26F8" w14:textId="0546EE5E" w:rsidR="00914A55" w:rsidRDefault="00914A55" w:rsidP="00E84181">
      <w:pPr>
        <w:jc w:val="both"/>
      </w:pPr>
      <w:r>
        <w:t>Πράγματι, έχοντας αποδεχθεί καταναγκαστικά την εγκαθίδρυση συνταγματικού πολιτεύματος ο ξενόφερτος μονάρχης δεν διακατεχόταν από την παραμικρή διάθεση να το εφαρμόσει. Αναμίχθηκε σε έργα διοικητικά, παρενέβαινε στις βουλευτικές εκλογές και κατέβαλε κάθε προσπάθεια να συγκεντρώσει όλο και περισσότερη εξουσία.</w:t>
      </w:r>
    </w:p>
    <w:p w14:paraId="2AF1D241" w14:textId="121846DC" w:rsidR="00914A55" w:rsidRDefault="006C3A48" w:rsidP="00E84181">
      <w:pPr>
        <w:jc w:val="both"/>
      </w:pPr>
      <w:r>
        <w:rPr>
          <w:noProof/>
        </w:rPr>
        <w:drawing>
          <wp:anchor distT="0" distB="0" distL="114300" distR="114300" simplePos="0" relativeHeight="251658240" behindDoc="0" locked="0" layoutInCell="1" allowOverlap="1" wp14:anchorId="2EB96A27" wp14:editId="354F2CDB">
            <wp:simplePos x="0" y="0"/>
            <wp:positionH relativeFrom="column">
              <wp:posOffset>4761865</wp:posOffset>
            </wp:positionH>
            <wp:positionV relativeFrom="paragraph">
              <wp:posOffset>737235</wp:posOffset>
            </wp:positionV>
            <wp:extent cx="1253490" cy="1670050"/>
            <wp:effectExtent l="0" t="0" r="381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253490" cy="1670050"/>
                    </a:xfrm>
                    <a:prstGeom prst="rect">
                      <a:avLst/>
                    </a:prstGeom>
                  </pic:spPr>
                </pic:pic>
              </a:graphicData>
            </a:graphic>
            <wp14:sizeRelH relativeFrom="page">
              <wp14:pctWidth>0</wp14:pctWidth>
            </wp14:sizeRelH>
            <wp14:sizeRelV relativeFrom="page">
              <wp14:pctHeight>0</wp14:pctHeight>
            </wp14:sizeRelV>
          </wp:anchor>
        </w:drawing>
      </w:r>
      <w:r w:rsidR="00914A55">
        <w:t xml:space="preserve">Χαρακτηριστικές υπήρξαν οι καταγγελίες του Μιχ. </w:t>
      </w:r>
      <w:r w:rsidR="00C37BFB">
        <w:t>Σχινά στη Βουλή σε βάρος της γαλλόφιλης (και υποστηριζόμενης από τον Όθωνα) κυβέρνησης Κωλέττη, την επομένη της διεξαγωγής των εκλογών το 1847: «Μέσα διπλά, τριπλά, τετραπλά, παραπείσεων, απειλών, υποσχέσεων ετίθεντο εν χρήσει ίνα συλλέξωσι την διεσπαρμένην και απολωλώσαν πλειοψηφίαν [...].</w:t>
      </w:r>
    </w:p>
    <w:p w14:paraId="30F91BED" w14:textId="094E9112" w:rsidR="00C37BFB" w:rsidRPr="000009C4" w:rsidRDefault="000009C4" w:rsidP="00E84181">
      <w:pPr>
        <w:jc w:val="both"/>
        <w:rPr>
          <w:b/>
          <w:bCs/>
          <w:color w:val="C00000"/>
        </w:rPr>
      </w:pPr>
      <w:r>
        <w:rPr>
          <w:b/>
          <w:bCs/>
          <w:color w:val="C00000"/>
        </w:rPr>
        <w:t>ΠΑΡΑΘΕΜΑ</w:t>
      </w:r>
      <w:r w:rsidR="00C37BFB" w:rsidRPr="000009C4">
        <w:rPr>
          <w:b/>
          <w:bCs/>
          <w:color w:val="C00000"/>
        </w:rPr>
        <w:t xml:space="preserve"> Β΄</w:t>
      </w:r>
    </w:p>
    <w:p w14:paraId="3E4B07D3" w14:textId="5F77AEFA" w:rsidR="00C37BFB" w:rsidRDefault="00D53EB5" w:rsidP="00E84181">
      <w:pPr>
        <w:jc w:val="both"/>
      </w:pPr>
      <w:r>
        <w:rPr>
          <w:b/>
          <w:bCs/>
          <w:noProof/>
        </w:rPr>
        <w:drawing>
          <wp:anchor distT="0" distB="0" distL="114300" distR="114300" simplePos="0" relativeHeight="251659264" behindDoc="0" locked="0" layoutInCell="1" allowOverlap="1" wp14:anchorId="6261B0E3" wp14:editId="709AC816">
            <wp:simplePos x="0" y="0"/>
            <wp:positionH relativeFrom="column">
              <wp:posOffset>4628515</wp:posOffset>
            </wp:positionH>
            <wp:positionV relativeFrom="paragraph">
              <wp:posOffset>1671320</wp:posOffset>
            </wp:positionV>
            <wp:extent cx="1411605" cy="16319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411605" cy="16319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22E9372D" wp14:editId="34069B8E">
                <wp:simplePos x="0" y="0"/>
                <wp:positionH relativeFrom="column">
                  <wp:posOffset>4679950</wp:posOffset>
                </wp:positionH>
                <wp:positionV relativeFrom="paragraph">
                  <wp:posOffset>1315720</wp:posOffset>
                </wp:positionV>
                <wp:extent cx="1259840" cy="2730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73050"/>
                        </a:xfrm>
                        <a:prstGeom prst="rect">
                          <a:avLst/>
                        </a:prstGeom>
                        <a:solidFill>
                          <a:srgbClr val="FFFFFF"/>
                        </a:solidFill>
                        <a:ln w="9525">
                          <a:noFill/>
                          <a:miter lim="800000"/>
                          <a:headEnd/>
                          <a:tailEnd/>
                        </a:ln>
                      </wps:spPr>
                      <wps:txbx>
                        <w:txbxContent>
                          <w:p w14:paraId="4CAAAD83" w14:textId="4B865B15" w:rsidR="00D53EB5" w:rsidRPr="00D53EB5" w:rsidRDefault="00D53EB5" w:rsidP="00D53EB5">
                            <w:pPr>
                              <w:jc w:val="center"/>
                              <w:rPr>
                                <w:b/>
                                <w:bCs/>
                                <w:i/>
                                <w:iCs/>
                                <w:lang w:val="en-US"/>
                              </w:rPr>
                            </w:pPr>
                            <w:r>
                              <w:rPr>
                                <w:b/>
                                <w:bCs/>
                                <w:i/>
                                <w:iCs/>
                              </w:rPr>
                              <w:t>Ιωάννης Κωλέττης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9372D" id="_x0000_t202" coordsize="21600,21600" o:spt="202" path="m,l,21600r21600,l21600,xe">
                <v:stroke joinstyle="miter"/>
                <v:path gradientshapeok="t" o:connecttype="rect"/>
              </v:shapetype>
              <v:shape id="Text Box 2" o:spid="_x0000_s1026" type="#_x0000_t202" style="position:absolute;left:0;text-align:left;margin-left:368.5pt;margin-top:103.6pt;width:99.2pt;height: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" stroked="f">
                <v:textbox>
                  <w:txbxContent>
                    <w:p w14:paraId="4CAAAD83" w14:textId="4B865B15" w:rsidR="00D53EB5" w:rsidRPr="00D53EB5" w:rsidRDefault="00D53EB5" w:rsidP="00D53EB5">
                      <w:pPr>
                        <w:jc w:val="center"/>
                        <w:rPr>
                          <w:b/>
                          <w:bCs/>
                          <w:i/>
                          <w:iCs/>
                          <w:lang w:val="en-US"/>
                        </w:rPr>
                      </w:pPr>
                      <w:r>
                        <w:rPr>
                          <w:b/>
                          <w:bCs/>
                          <w:i/>
                          <w:iCs/>
                        </w:rPr>
                        <w:t>Ιωάννης Κωλέττης</w:t>
                      </w:r>
                    </w:p>
                  </w:txbxContent>
                </v:textbox>
                <w10:wrap type="square"/>
              </v:shape>
            </w:pict>
          </mc:Fallback>
        </mc:AlternateContent>
      </w:r>
      <w:r w:rsidR="00C37BFB">
        <w:t>Η πρωθυπουργία του Κωλέττη διήρκησε μία τριετία (1844 – 1847). Η εσωτερική του πολιτική είναι γεμάτη από ανωμαλίες, αταξίες, καταχρήσεις των δημοσίων χρημάτων, αυθαίρετους διορισμούς και παύσεις υπαλλήλων. Ήταν ένας μεγάλος κομματάρχης, άφθαστος στην ψηφοφορία, καθώς και στην καιροσκοπία. Απουσίαζε σχεδόν συνεχώς από τις συνεδριάσεις της βουλής, ενώ δεν παρέλειπε να δέχεται τους ψηφοφόρους του που συνωθούνταν έξω από το σπίτι του, κοντά στην Πύλη του Αδριανού, για να τον παρακαλέσουν για κάποιο προσωπικό τους ζήτημα, για κάποιο ρουσφέτι. Ο Κωλέττης καλλιέργησε όσο κανείς προηγούμενός του, τα σπέρματα της συναλλαγής και της πολιτικής διαφθοράς.</w:t>
      </w:r>
    </w:p>
    <w:p w14:paraId="4536C14F" w14:textId="552F0063" w:rsidR="00C37BFB" w:rsidRPr="000009C4" w:rsidRDefault="000009C4" w:rsidP="00E84181">
      <w:pPr>
        <w:jc w:val="both"/>
        <w:rPr>
          <w:b/>
          <w:bCs/>
          <w:color w:val="C00000"/>
        </w:rPr>
      </w:pPr>
      <w:r>
        <w:rPr>
          <w:b/>
          <w:bCs/>
          <w:color w:val="C00000"/>
        </w:rPr>
        <w:t>ΠΑΡΑΘΕΜΑ</w:t>
      </w:r>
      <w:r w:rsidR="00C37BFB" w:rsidRPr="000009C4">
        <w:rPr>
          <w:b/>
          <w:bCs/>
          <w:color w:val="C00000"/>
        </w:rPr>
        <w:t xml:space="preserve"> Γ΄</w:t>
      </w:r>
    </w:p>
    <w:p w14:paraId="43517A83" w14:textId="561BAE02" w:rsidR="00C37BFB" w:rsidRDefault="00D53EB5" w:rsidP="00E84181">
      <w:pPr>
        <w:jc w:val="both"/>
      </w:pPr>
      <w:r>
        <w:rPr>
          <w:noProof/>
        </w:rPr>
        <mc:AlternateContent>
          <mc:Choice Requires="wps">
            <w:drawing>
              <wp:anchor distT="45720" distB="45720" distL="114300" distR="114300" simplePos="0" relativeHeight="251661312" behindDoc="0" locked="0" layoutInCell="1" allowOverlap="1" wp14:anchorId="2ECE2FF0" wp14:editId="5697443B">
                <wp:simplePos x="0" y="0"/>
                <wp:positionH relativeFrom="column">
                  <wp:posOffset>4603750</wp:posOffset>
                </wp:positionH>
                <wp:positionV relativeFrom="paragraph">
                  <wp:posOffset>1329055</wp:posOffset>
                </wp:positionV>
                <wp:extent cx="1435100" cy="273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273050"/>
                        </a:xfrm>
                        <a:prstGeom prst="rect">
                          <a:avLst/>
                        </a:prstGeom>
                        <a:solidFill>
                          <a:srgbClr val="FFFFFF"/>
                        </a:solidFill>
                        <a:ln w="9525">
                          <a:noFill/>
                          <a:miter lim="800000"/>
                          <a:headEnd/>
                          <a:tailEnd/>
                        </a:ln>
                      </wps:spPr>
                      <wps:txbx>
                        <w:txbxContent>
                          <w:p w14:paraId="7636553C" w14:textId="04814032" w:rsidR="00D53EB5" w:rsidRPr="00D53EB5" w:rsidRDefault="00D53EB5" w:rsidP="00D53EB5">
                            <w:pPr>
                              <w:jc w:val="center"/>
                              <w:rPr>
                                <w:b/>
                                <w:bCs/>
                                <w:i/>
                                <w:iCs/>
                                <w:lang w:val="en-US"/>
                              </w:rPr>
                            </w:pPr>
                            <w:r w:rsidRPr="00D53EB5">
                              <w:rPr>
                                <w:b/>
                                <w:bCs/>
                                <w:i/>
                                <w:iCs/>
                              </w:rPr>
                              <w:t>Δόν Πατσίφικο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E2FF0" id="_x0000_s1027" type="#_x0000_t202" style="position:absolute;left:0;text-align:left;margin-left:362.5pt;margin-top:104.65pt;width:113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" stroked="f">
                <v:textbox>
                  <w:txbxContent>
                    <w:p w14:paraId="7636553C" w14:textId="04814032" w:rsidR="00D53EB5" w:rsidRPr="00D53EB5" w:rsidRDefault="00D53EB5" w:rsidP="00D53EB5">
                      <w:pPr>
                        <w:jc w:val="center"/>
                        <w:rPr>
                          <w:b/>
                          <w:bCs/>
                          <w:i/>
                          <w:iCs/>
                          <w:lang w:val="en-US"/>
                        </w:rPr>
                      </w:pPr>
                      <w:r w:rsidRPr="00D53EB5">
                        <w:rPr>
                          <w:b/>
                          <w:bCs/>
                          <w:i/>
                          <w:iCs/>
                        </w:rPr>
                        <w:t>Δόν Πατσίφικο</w:t>
                      </w:r>
                    </w:p>
                  </w:txbxContent>
                </v:textbox>
                <w10:wrap type="square"/>
              </v:shape>
            </w:pict>
          </mc:Fallback>
        </mc:AlternateContent>
      </w:r>
      <w:r w:rsidR="00C37BFB">
        <w:t>Η μείωση της γαλλικής επιρροής στην Ελλάδα μετά τον θάνατο του Κωλέττη και την επανάσταση στη Γαλλία τον Φεβρουάριο του 1848 ανάγκασαν σε παραίτηση την κυβέρνηση του κωλεττικού Κίτσου Τζαβέλλα τον Μάρτιο του 1848. Η πολιτική αστάθεια συνεχίστηκε ως το τέλος του 1849</w:t>
      </w:r>
      <w:r w:rsidR="008A4C4C">
        <w:t>: δύο βραχύβιες κυβερνήσεις Γ. Κουντουριώτη και του Κ. Κανάρη αντιμετώπισαν την έξαρση κινημάτων στην Πελοπόννησο και τη Στερεά και τις συνεχιζόμενες πιέσεις της Αγγλίας, που κορυφώθηκαν με το «επεισόδιο Πατσίφικο» (λεηλασία από Έλληνες της κατοικίας ενός Πορτογαλλοεβραίου αγγλικής υπηκοότητας) και με αξιώσεις για ικανοποίηση και άλλων Άγγλων υπηκόων που είχαν υποστεί ζημιές από Έλληνες. Όταν η κυβέρνηση Αντ. Κριεζή, που έμεινε στην εξουσία από τον Δεκέμβριο του 1849 ως τον Μάιο του 1854 αρνήθηκε να ικανοποιήσει αμέσως τα αιτήματα του Άγγλου πρεσβευτή Ουάις σχετικά με τα ζητήματα αυτά, μοίρα του αγγλικού στόλου της Μεσογείου απέκλεισε τον Ιανουάριο του 1850 τα κυριότερα ελληνικά λιμάνια. Μ</w:t>
      </w:r>
      <w:r w:rsidR="006C3A48">
        <w:t>έ</w:t>
      </w:r>
      <w:r w:rsidR="008A4C4C">
        <w:t>σα σε αυτές τις συνθήκες ευχάριστο γεγονός αποτέλεσε η αναγνώριση του αυτοκεφάλου της Ελληνικής Εκκλησίας από το Οικουμενικό Πατριαρχείο τον Ιούνιο του 1850. Ο Όθωνας θεώρησε την αίσια έκβαση του προβλήματος «ως εν των λαμπροτέρων συμβεβηκότων της βασιλείας».</w:t>
      </w:r>
    </w:p>
    <w:sectPr w:rsidR="00C37BFB" w:rsidSect="00D53EB5">
      <w:pgSz w:w="11906" w:h="16838"/>
      <w:pgMar w:top="993" w:right="1274"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81"/>
    <w:rsid w:val="000009C4"/>
    <w:rsid w:val="00137337"/>
    <w:rsid w:val="006C3A48"/>
    <w:rsid w:val="008A4C4C"/>
    <w:rsid w:val="00914A55"/>
    <w:rsid w:val="009F2B89"/>
    <w:rsid w:val="00C37BFB"/>
    <w:rsid w:val="00D53EB5"/>
    <w:rsid w:val="00E51359"/>
    <w:rsid w:val="00E841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89D1"/>
  <w15:chartTrackingRefBased/>
  <w15:docId w15:val="{CBF22551-D2C7-4D91-B20F-E77FC551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479</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2021-10-27T11:45:00Z</dcterms:created>
  <dcterms:modified xsi:type="dcterms:W3CDTF">2021-10-27T12:32:00Z</dcterms:modified>
</cp:coreProperties>
</file>