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39" w:rsidRDefault="00E53539" w:rsidP="00E53539">
      <w:pPr>
        <w:spacing w:after="0"/>
      </w:pPr>
      <w:r>
        <w:t>ΠΗΓΗ ΕΘΝΙΚΑ ΔΑΝΕΙΑ 19</w:t>
      </w:r>
      <w:r w:rsidRPr="00E53539">
        <w:rPr>
          <w:vertAlign w:val="superscript"/>
        </w:rPr>
        <w:t>ος</w:t>
      </w:r>
      <w:r>
        <w:t xml:space="preserve"> αι.</w:t>
      </w:r>
    </w:p>
    <w:p w:rsidR="00E53539" w:rsidRDefault="00E53539" w:rsidP="003B681D">
      <w:pPr>
        <w:spacing w:after="0"/>
        <w:ind w:firstLine="720"/>
        <w:jc w:val="both"/>
      </w:pPr>
      <w:r>
        <w:t xml:space="preserve">Ο Α. Συγγρός είχε κινητοποιήσει συστηματικά για την διευκόλυνση των Ελλήνων που επιθυμούσαν να αγοράσουν ελληνικά </w:t>
      </w:r>
      <w:proofErr w:type="spellStart"/>
      <w:r>
        <w:t>χρεώγραφα</w:t>
      </w:r>
      <w:proofErr w:type="spellEnd"/>
      <w:r>
        <w:t xml:space="preserve"> του εξωτερικού, τόσο την Τράπεζα </w:t>
      </w:r>
      <w:proofErr w:type="spellStart"/>
      <w:r>
        <w:t>Ηπειροθεσσαλίας</w:t>
      </w:r>
      <w:proofErr w:type="spellEnd"/>
      <w:r>
        <w:t>, όσο και την περίφημη Τράπεζα Κωνσταντινουπόλεως. Και πραγματικά, πολλοί ήταν εκείνοι που, μολονότι Έλληνες, προτιμούσαν να δανείζουν στο ελληνικό κράτος από τα χρηματιστήρια του εξωτερικού ως αλλοδαποί σύμφωνα με τους κανόνες της διεθνούς χρηματαγοράς, παρά ως ημεδαποί σύμφωνα με τους εγχώριους κανόνες. Αυτό εξηγείται από το ότι οι εγγυήσεις που πρόσφερε ο Τρικούπης στους αλλοδαπούς δανειστές ήταν ασύγκριτα ανώτερες από εκείνες που πρόσφερε προς τους εγχώριους.</w:t>
      </w:r>
    </w:p>
    <w:p w:rsidR="00E53539" w:rsidRDefault="00E53539" w:rsidP="003B681D">
      <w:pPr>
        <w:spacing w:after="0"/>
        <w:ind w:firstLine="720"/>
        <w:jc w:val="both"/>
      </w:pPr>
      <w:r>
        <w:t xml:space="preserve">Έτσι, κατά τον Άγγλο εμπειρογνώμονα </w:t>
      </w:r>
      <w:proofErr w:type="spellStart"/>
      <w:r>
        <w:t>Εδ</w:t>
      </w:r>
      <w:proofErr w:type="spellEnd"/>
      <w:r>
        <w:t xml:space="preserve">. </w:t>
      </w:r>
      <w:proofErr w:type="spellStart"/>
      <w:r>
        <w:t>Λώ</w:t>
      </w:r>
      <w:proofErr w:type="spellEnd"/>
      <w:r>
        <w:t xml:space="preserve">, το 1892 βρίσκονταν στα χέρια Ελλήνων της ημεδαπής, ελληνικά </w:t>
      </w:r>
      <w:proofErr w:type="spellStart"/>
      <w:r>
        <w:t>χρεώγραφα</w:t>
      </w:r>
      <w:proofErr w:type="spellEnd"/>
      <w:r>
        <w:t xml:space="preserve"> του εξωτερικού αξίας περίπου 60-80.000.000 χρ. φρ. Επιπλέον θα έπρεπε να προστεθούν τα </w:t>
      </w:r>
      <w:proofErr w:type="spellStart"/>
      <w:r>
        <w:t>χρεώγραφα</w:t>
      </w:r>
      <w:proofErr w:type="spellEnd"/>
      <w:r>
        <w:t xml:space="preserve"> που κατείχαν οι Έλληνες του εξωτερικού. Κατά τον Α. Ανδρεάδη, η συνολική αξία των </w:t>
      </w:r>
      <w:proofErr w:type="spellStart"/>
      <w:r>
        <w:t>χρεωγράφων</w:t>
      </w:r>
      <w:proofErr w:type="spellEnd"/>
      <w:r>
        <w:t xml:space="preserve"> που βρίσκονταν σε χέρια Ελλήνων ήταν ίση με 15% του συνολικού ποσού των δανείων ενώ κατ’ άλλους το ποσοστό αυτό έφθανε στην πραγματικότητα ως 30%.</w:t>
      </w:r>
    </w:p>
    <w:p w:rsidR="00DE4D47" w:rsidRDefault="00E53539" w:rsidP="003B681D">
      <w:pPr>
        <w:spacing w:after="0"/>
        <w:ind w:firstLine="720"/>
        <w:jc w:val="both"/>
      </w:pPr>
      <w:r>
        <w:t>Η υπηρεσία του δημοσίου χρέους απορροφούσε ένα συνεχώς αυξανόμενο ποσό (σε εκ. δρχ.):</w:t>
      </w:r>
    </w:p>
    <w:p w:rsidR="00E53539" w:rsidRDefault="00E53539" w:rsidP="003B681D">
      <w:pPr>
        <w:spacing w:after="0"/>
        <w:ind w:firstLine="720"/>
        <w:jc w:val="both"/>
      </w:pPr>
      <w:r>
        <w:t>1861</w:t>
      </w:r>
      <w:r>
        <w:tab/>
      </w:r>
      <w:r>
        <w:tab/>
      </w:r>
      <w:r>
        <w:t>1,2</w:t>
      </w:r>
    </w:p>
    <w:p w:rsidR="00E53539" w:rsidRDefault="00E53539" w:rsidP="003B681D">
      <w:pPr>
        <w:spacing w:after="0"/>
        <w:ind w:firstLine="720"/>
        <w:jc w:val="both"/>
      </w:pPr>
      <w:r>
        <w:t>1875</w:t>
      </w:r>
      <w:r>
        <w:tab/>
      </w:r>
      <w:r>
        <w:tab/>
      </w:r>
      <w:r>
        <w:t>7,7</w:t>
      </w:r>
    </w:p>
    <w:p w:rsidR="00E53539" w:rsidRDefault="00E53539" w:rsidP="003B681D">
      <w:pPr>
        <w:spacing w:after="0"/>
        <w:ind w:firstLine="720"/>
        <w:jc w:val="both"/>
      </w:pPr>
      <w:r>
        <w:t>1877</w:t>
      </w:r>
      <w:r>
        <w:tab/>
      </w:r>
      <w:r>
        <w:tab/>
      </w:r>
      <w:r>
        <w:t>8,5</w:t>
      </w:r>
    </w:p>
    <w:p w:rsidR="00E53539" w:rsidRDefault="00E53539" w:rsidP="003B681D">
      <w:pPr>
        <w:spacing w:after="0"/>
        <w:ind w:firstLine="720"/>
        <w:jc w:val="both"/>
      </w:pPr>
      <w:r>
        <w:t>1879</w:t>
      </w:r>
      <w:r>
        <w:tab/>
      </w:r>
      <w:r>
        <w:tab/>
      </w:r>
      <w:r>
        <w:t>17,3</w:t>
      </w:r>
    </w:p>
    <w:p w:rsidR="00E53539" w:rsidRDefault="00E53539" w:rsidP="003B681D">
      <w:pPr>
        <w:spacing w:after="0"/>
        <w:ind w:firstLine="720"/>
        <w:jc w:val="both"/>
      </w:pPr>
      <w:r>
        <w:t>1881</w:t>
      </w:r>
      <w:r>
        <w:tab/>
      </w:r>
      <w:r>
        <w:tab/>
      </w:r>
      <w:r>
        <w:t>20,3</w:t>
      </w:r>
    </w:p>
    <w:p w:rsidR="00E53539" w:rsidRDefault="00E53539" w:rsidP="003B681D">
      <w:pPr>
        <w:spacing w:after="0"/>
        <w:ind w:firstLine="720"/>
        <w:jc w:val="both"/>
      </w:pPr>
      <w:r>
        <w:t>1890</w:t>
      </w:r>
      <w:r>
        <w:tab/>
      </w:r>
      <w:r>
        <w:tab/>
      </w:r>
      <w:r>
        <w:t>44,0</w:t>
      </w:r>
    </w:p>
    <w:p w:rsidR="00E53539" w:rsidRDefault="00E53539" w:rsidP="003B681D">
      <w:pPr>
        <w:spacing w:after="0"/>
        <w:ind w:firstLine="720"/>
        <w:jc w:val="both"/>
      </w:pPr>
      <w:r>
        <w:t>1892</w:t>
      </w:r>
      <w:r>
        <w:tab/>
      </w:r>
      <w:r>
        <w:tab/>
      </w:r>
      <w:r>
        <w:t>55,0</w:t>
      </w:r>
    </w:p>
    <w:p w:rsidR="00E53539" w:rsidRDefault="00E53539" w:rsidP="003B681D">
      <w:pPr>
        <w:spacing w:after="0"/>
        <w:ind w:firstLine="720"/>
        <w:jc w:val="both"/>
      </w:pPr>
      <w:r>
        <w:t xml:space="preserve">Είναι προφανές ότι το δάνειο του εξωτερικού έγιναν τελικά ένας παράγοντας που συνέβαλε στη διεύρυνση (και όχι στην κάλυψη) του ελλείμματος και μέσω αυτής στην οικονομική χρεωκοπία του 1893. Με άλλα λόγια, τα δάνεια αντί να αναστείλουν την πτώχευση, την επέσπευσαν. Όμως από την άλλη πλευρά, ο Τρικούπης, χάρη στα δάνεια, πέτυχε κατά την «τρελή δεκαετία» (κατά την έκφραση του </w:t>
      </w:r>
      <w:proofErr w:type="spellStart"/>
      <w:r>
        <w:t>Thery</w:t>
      </w:r>
      <w:proofErr w:type="spellEnd"/>
      <w:r>
        <w:t>), 1882-1892, να έχει στη διάθεσή του όλα τα απαιτούμενα χρηματοδοτικά μέσα …</w:t>
      </w:r>
    </w:p>
    <w:p w:rsidR="00E53539" w:rsidRDefault="00E53539" w:rsidP="003B681D">
      <w:pPr>
        <w:spacing w:after="0"/>
        <w:ind w:firstLine="720"/>
        <w:jc w:val="both"/>
      </w:pPr>
      <w:r>
        <w:t xml:space="preserve">«Ακατανόητον μου φαίνεται πως μέχρι του 1890, οι ξένοι κεφαλαιούχοι </w:t>
      </w:r>
      <w:proofErr w:type="spellStart"/>
      <w:r>
        <w:t>εδείχθησαν</w:t>
      </w:r>
      <w:proofErr w:type="spellEnd"/>
      <w:r>
        <w:t xml:space="preserve"> τόσον πρόθυμοι να μας </w:t>
      </w:r>
      <w:proofErr w:type="spellStart"/>
      <w:r>
        <w:t>δανείσωσι</w:t>
      </w:r>
      <w:proofErr w:type="spellEnd"/>
      <w:r>
        <w:t xml:space="preserve"> </w:t>
      </w:r>
      <w:proofErr w:type="spellStart"/>
      <w:r>
        <w:t>τοσαύτα</w:t>
      </w:r>
      <w:proofErr w:type="spellEnd"/>
      <w:r>
        <w:t xml:space="preserve"> εκατομμύρια», γράφει ο Α. Ανδρεάδης. Πραγματικά, απορεί κανείς τι είδους εμπιστοσύνη ήταν αυτή που έδειχναν οι κύκλοι του κεφαλαίου σε ένα κράτος που είχε επανειλημμένα πτωχεύσει στο παρελθόν, που δεν παρουσίαζε καμιά οικονομική σταθερότητα προτιμήσεως των Ευρωπαίων υπέρ της οθωμανικής ακεραιότητας. Ο ίδιος ο Ανδρεάδης επικαλείται τρεις λόγους στην προσπάθειά του να εξηγήσει αυτό το «παράδοξο». Κατά πρώτο, αναφέρει την εμπιστοσύνη των ξένων προς τον Τρικούπη … Και τέλος, ο ίδιος αναφέρει τον τρίτο λόγο, ο οποίος στην ουσία είναι και ο μοναδικός: «οι Ευρωπαίοι κεφαλαιούχοι </w:t>
      </w:r>
      <w:proofErr w:type="spellStart"/>
      <w:r>
        <w:t>παρεκινήθησαν</w:t>
      </w:r>
      <w:proofErr w:type="spellEnd"/>
      <w:r>
        <w:t xml:space="preserve"> να μας </w:t>
      </w:r>
      <w:proofErr w:type="spellStart"/>
      <w:r>
        <w:t>δανείσωσι</w:t>
      </w:r>
      <w:proofErr w:type="spellEnd"/>
      <w:r>
        <w:t xml:space="preserve"> τα εκατομμύρια των λόγω των επικρατούντων εκεί χαμηλών τόκων».</w:t>
      </w:r>
    </w:p>
    <w:p w:rsidR="00E53539" w:rsidRDefault="00E53539" w:rsidP="003B681D">
      <w:pPr>
        <w:spacing w:after="0"/>
        <w:ind w:firstLine="720"/>
        <w:jc w:val="both"/>
      </w:pPr>
      <w:r>
        <w:t xml:space="preserve">Έτσι, ο τόκος των δανείων ήταν σχετικά χαμηλός, γιατί την ίδια εποχή στην Ευρώπη ήταν κατά 4 με 5 φορές χαμηλότερος. Εξάλλου οι δανειστές, εκμεταλλευόμενοι την ανάγκη για κεφάλαια του ελληνικού κράτους, δέχονταν βέβαια μια μακροχρόνια διορία </w:t>
      </w:r>
      <w:proofErr w:type="spellStart"/>
      <w:r>
        <w:t>χρεωλυσίας</w:t>
      </w:r>
      <w:proofErr w:type="spellEnd"/>
      <w:r>
        <w:t xml:space="preserve"> (75-100 έτη), αλλά επέβαλλαν και μια τιμή εκδόσεως εξαιρετικά χαμηλή. Αποτέλεσμα ήταν ότι οι δανειστές με φαινομενικό τόκο 5% στην πραγματικότητα αποκαθιστούν το αρχικό τους κεφάλαιο σε λιγότερο από 10 χρόνια και τα συνεχιζόμενα </w:t>
      </w:r>
      <w:proofErr w:type="spellStart"/>
      <w:r>
        <w:t>τοκοχρεωλύσια</w:t>
      </w:r>
      <w:proofErr w:type="spellEnd"/>
      <w:r>
        <w:t xml:space="preserve"> ήταν γι’ αυτούς καθαρό κέρδος. Έτσι, αν δάνειζαν την Ελλάδα το έκαναν γιατί οι άλλες λύσεις στον ευρωπαϊκό χώρο είχαν περιορισθεί. Τα δάνεια δεν έγιναν λόγω της εμπιστοσύνης τους προς την Ελλάδα, αλλά «παρά την </w:t>
      </w:r>
      <w:proofErr w:type="spellStart"/>
      <w:r>
        <w:t>έλλειψιν</w:t>
      </w:r>
      <w:proofErr w:type="spellEnd"/>
      <w:r>
        <w:t xml:space="preserve"> εμπιστοσύνης». Στόχος των δανειστών ήταν να έχουν αποκαταστήσει το κεφάλαιο τους το συντομότερο δυνατό χρονικό διάστημα, ώστε να απαλλαγούν έγκαιρα από τις αγωνίες που τόσο άφθονα τους πρόσφερε ένα κράτος σαν το ελληνικό.</w:t>
      </w:r>
    </w:p>
    <w:p w:rsidR="00E53539" w:rsidRDefault="00E53539" w:rsidP="003B681D">
      <w:pPr>
        <w:spacing w:after="0"/>
        <w:ind w:left="4320" w:firstLine="720"/>
      </w:pPr>
      <w:bookmarkStart w:id="0" w:name="_GoBack"/>
      <w:bookmarkEnd w:id="0"/>
      <w:r>
        <w:t>Ιστορία του Ελληνικού Έθνους, τ. ΙΔ΄, σ. 79</w:t>
      </w:r>
    </w:p>
    <w:p w:rsidR="00E53539" w:rsidRDefault="00E53539" w:rsidP="00E53539">
      <w:pPr>
        <w:spacing w:after="0"/>
      </w:pPr>
    </w:p>
    <w:p w:rsidR="00E53539" w:rsidRDefault="00E53539" w:rsidP="00E53539">
      <w:pPr>
        <w:spacing w:after="0"/>
      </w:pPr>
    </w:p>
    <w:sectPr w:rsidR="00E53539" w:rsidSect="00E535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39"/>
    <w:rsid w:val="003B681D"/>
    <w:rsid w:val="00DE4D47"/>
    <w:rsid w:val="00E535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F999-780E-4CFE-A6E4-2F5EEEC1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2965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2018-10-15T17:07:00Z</dcterms:created>
  <dcterms:modified xsi:type="dcterms:W3CDTF">2018-10-15T17:13:00Z</dcterms:modified>
</cp:coreProperties>
</file>