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82D" w:rsidRPr="006D3293" w:rsidRDefault="00DE182D" w:rsidP="00780B59">
      <w:pPr>
        <w:pStyle w:val="Aaoeeu1"/>
        <w:ind w:left="567" w:right="340"/>
        <w:jc w:val="both"/>
        <w:rPr>
          <w:rFonts w:asciiTheme="minorHAnsi" w:hAnsiTheme="minorHAnsi" w:cstheme="minorHAnsi"/>
          <w:color w:val="000000"/>
          <w:sz w:val="22"/>
          <w:szCs w:val="22"/>
        </w:rPr>
      </w:pPr>
      <w:r w:rsidRPr="006D3293">
        <w:rPr>
          <w:rFonts w:asciiTheme="minorHAnsi" w:hAnsiTheme="minorHAnsi" w:cstheme="minorHAnsi"/>
          <w:color w:val="000000"/>
          <w:sz w:val="22"/>
          <w:szCs w:val="22"/>
        </w:rPr>
        <w:t xml:space="preserve">Κατά το δεύτερο ήμισυ του 19ου αιώνα, η Ελλάδα όχι μόνον συγκλονίστηκε από την αντίθεση ανάμεσα σ’ ένα </w:t>
      </w:r>
      <w:proofErr w:type="spellStart"/>
      <w:r w:rsidRPr="006D3293">
        <w:rPr>
          <w:rFonts w:asciiTheme="minorHAnsi" w:hAnsiTheme="minorHAnsi" w:cstheme="minorHAnsi"/>
          <w:color w:val="000000"/>
          <w:sz w:val="22"/>
          <w:szCs w:val="22"/>
        </w:rPr>
        <w:t>αγρο</w:t>
      </w:r>
      <w:proofErr w:type="spellEnd"/>
      <w:r w:rsidRPr="006D3293">
        <w:rPr>
          <w:rFonts w:asciiTheme="minorHAnsi" w:hAnsiTheme="minorHAnsi" w:cstheme="minorHAnsi"/>
          <w:color w:val="000000"/>
          <w:sz w:val="22"/>
          <w:szCs w:val="22"/>
        </w:rPr>
        <w:t xml:space="preserve">-εμπορευματικό και σ’ ένα </w:t>
      </w:r>
      <w:proofErr w:type="spellStart"/>
      <w:r w:rsidRPr="006D3293">
        <w:rPr>
          <w:rFonts w:asciiTheme="minorHAnsi" w:hAnsiTheme="minorHAnsi" w:cstheme="minorHAnsi"/>
          <w:color w:val="000000"/>
          <w:sz w:val="22"/>
          <w:szCs w:val="22"/>
        </w:rPr>
        <w:t>αστο</w:t>
      </w:r>
      <w:proofErr w:type="spellEnd"/>
      <w:r w:rsidRPr="006D3293">
        <w:rPr>
          <w:rFonts w:asciiTheme="minorHAnsi" w:hAnsiTheme="minorHAnsi" w:cstheme="minorHAnsi"/>
          <w:color w:val="000000"/>
          <w:sz w:val="22"/>
          <w:szCs w:val="22"/>
        </w:rPr>
        <w:t xml:space="preserve">-βιομηχανικό τομέα, αλλά επίσης επρόκειτο να υποστεί τις συνέπειες της διχοτομίας που προέκυπτε από την αντιθετική συνύπαρξη δύο αγροτικών ζωνών: </w:t>
      </w:r>
    </w:p>
    <w:p w:rsidR="00DE182D" w:rsidRPr="006D3293" w:rsidRDefault="00DE182D" w:rsidP="00780B59">
      <w:pPr>
        <w:pStyle w:val="Aaoeeu1"/>
        <w:ind w:left="567" w:right="340"/>
        <w:jc w:val="both"/>
        <w:rPr>
          <w:rFonts w:asciiTheme="minorHAnsi" w:hAnsiTheme="minorHAnsi" w:cstheme="minorHAnsi"/>
          <w:color w:val="000000"/>
          <w:sz w:val="22"/>
          <w:szCs w:val="22"/>
        </w:rPr>
      </w:pPr>
      <w:r w:rsidRPr="006D3293">
        <w:rPr>
          <w:rFonts w:asciiTheme="minorHAnsi" w:hAnsiTheme="minorHAnsi" w:cstheme="minorHAnsi"/>
          <w:color w:val="000000"/>
          <w:sz w:val="22"/>
          <w:szCs w:val="22"/>
        </w:rPr>
        <w:t>α) ένας σημαντικός δημητριακός τομέας, κυριαρχούμενος από τα τσιφλίκια και β) ένας τομέας, όχι λιγότερο σημαντικός, εμ</w:t>
      </w:r>
      <w:r w:rsidR="006A0D6E" w:rsidRPr="006D3293">
        <w:rPr>
          <w:rFonts w:asciiTheme="minorHAnsi" w:hAnsiTheme="minorHAnsi" w:cstheme="minorHAnsi"/>
          <w:color w:val="000000"/>
          <w:sz w:val="22"/>
          <w:szCs w:val="22"/>
        </w:rPr>
        <w:t>πορευματικών φυτειών, κυριαρχού</w:t>
      </w:r>
      <w:r w:rsidRPr="006D3293">
        <w:rPr>
          <w:rFonts w:asciiTheme="minorHAnsi" w:hAnsiTheme="minorHAnsi" w:cstheme="minorHAnsi"/>
          <w:color w:val="000000"/>
          <w:sz w:val="22"/>
          <w:szCs w:val="22"/>
        </w:rPr>
        <w:t xml:space="preserve">μενος από την μικρή οικογενειακή ιδιοκτησία. </w:t>
      </w:r>
    </w:p>
    <w:p w:rsidR="00DE182D" w:rsidRPr="006D3293" w:rsidRDefault="00DE182D" w:rsidP="00780B59">
      <w:pPr>
        <w:pStyle w:val="Aaoeeu1"/>
        <w:ind w:left="567" w:right="260"/>
        <w:jc w:val="both"/>
        <w:rPr>
          <w:rFonts w:asciiTheme="minorHAnsi" w:hAnsiTheme="minorHAnsi" w:cstheme="minorHAnsi"/>
          <w:color w:val="000000"/>
          <w:sz w:val="22"/>
          <w:szCs w:val="22"/>
        </w:rPr>
      </w:pPr>
      <w:r w:rsidRPr="006D3293">
        <w:rPr>
          <w:rFonts w:asciiTheme="minorHAnsi" w:hAnsiTheme="minorHAnsi" w:cstheme="minorHAnsi"/>
          <w:color w:val="000000"/>
          <w:sz w:val="22"/>
          <w:szCs w:val="22"/>
        </w:rPr>
        <w:t xml:space="preserve">Η πολιτική των ελληνικών βιομηχανικών στρωμάτων ήταν να ευνοεί με όλα τα μέσα τον </w:t>
      </w:r>
      <w:proofErr w:type="spellStart"/>
      <w:r w:rsidRPr="006D3293">
        <w:rPr>
          <w:rFonts w:asciiTheme="minorHAnsi" w:hAnsiTheme="minorHAnsi" w:cstheme="minorHAnsi"/>
          <w:color w:val="000000"/>
          <w:sz w:val="22"/>
          <w:szCs w:val="22"/>
        </w:rPr>
        <w:t>μικροαγροτικό</w:t>
      </w:r>
      <w:proofErr w:type="spellEnd"/>
      <w:r w:rsidRPr="006D3293">
        <w:rPr>
          <w:rFonts w:asciiTheme="minorHAnsi" w:hAnsiTheme="minorHAnsi" w:cstheme="minorHAnsi"/>
          <w:color w:val="000000"/>
          <w:sz w:val="22"/>
          <w:szCs w:val="22"/>
        </w:rPr>
        <w:t xml:space="preserve"> τομέα, και ειδικώς τις φυτείες, ως μια προϋπόθεση που θα επέτρεπε την μεγιστοποίηση του όγκου του ξένου συναλλάγματος. Αυτό θα επέτρεπε στα βιομηχανικά </w:t>
      </w:r>
      <w:r w:rsidR="006A0D6E" w:rsidRPr="006D3293">
        <w:rPr>
          <w:rFonts w:asciiTheme="minorHAnsi" w:hAnsiTheme="minorHAnsi" w:cstheme="minorHAnsi"/>
          <w:color w:val="000000"/>
          <w:sz w:val="22"/>
          <w:szCs w:val="22"/>
        </w:rPr>
        <w:t>στρώματα, όχι μόνον να πραγματο</w:t>
      </w:r>
      <w:r w:rsidRPr="006D3293">
        <w:rPr>
          <w:rFonts w:asciiTheme="minorHAnsi" w:hAnsiTheme="minorHAnsi" w:cstheme="minorHAnsi"/>
          <w:color w:val="000000"/>
          <w:sz w:val="22"/>
          <w:szCs w:val="22"/>
        </w:rPr>
        <w:t xml:space="preserve">ποιήσουν μια «μεγάλη φυγή προς τα εμπρός» δια της  εισαγωγής των αναγκαίων για την βιομηχανική ανάπτυξη </w:t>
      </w:r>
      <w:proofErr w:type="spellStart"/>
      <w:r w:rsidRPr="006D3293">
        <w:rPr>
          <w:rFonts w:asciiTheme="minorHAnsi" w:hAnsiTheme="minorHAnsi" w:cstheme="minorHAnsi"/>
          <w:color w:val="000000"/>
          <w:sz w:val="22"/>
          <w:szCs w:val="22"/>
        </w:rPr>
        <w:t>κεφαλαιϊκών</w:t>
      </w:r>
      <w:proofErr w:type="spellEnd"/>
      <w:r w:rsidRPr="006D3293">
        <w:rPr>
          <w:rFonts w:asciiTheme="minorHAnsi" w:hAnsiTheme="minorHAnsi" w:cstheme="minorHAnsi"/>
          <w:color w:val="000000"/>
          <w:sz w:val="22"/>
          <w:szCs w:val="22"/>
        </w:rPr>
        <w:t xml:space="preserve"> αγαθών και πρώτων υλών, αλλά επίσης την μαζική εισαγωγή σιτηρών που, καλύπτοντας το μόνιμο δημητριακό έλλειμμα της χώρας, θα ανταγωνίζονταν με αποτελεσματικότητα την εγχώρια παραγωγή των τσιφλικιών. </w:t>
      </w:r>
    </w:p>
    <w:p w:rsidR="004D0860" w:rsidRPr="006D3293" w:rsidRDefault="00DE182D" w:rsidP="00780B59">
      <w:pPr>
        <w:spacing w:after="0"/>
        <w:ind w:left="567" w:right="260"/>
        <w:jc w:val="both"/>
        <w:rPr>
          <w:rFonts w:cstheme="minorHAnsi"/>
          <w:color w:val="000000"/>
        </w:rPr>
      </w:pPr>
      <w:r w:rsidRPr="006D3293">
        <w:rPr>
          <w:rFonts w:cstheme="minorHAnsi"/>
          <w:color w:val="000000"/>
        </w:rPr>
        <w:t>Αυτή η προοπτική θα οδηγούσε αργά ή γρήγορα στο επιθυμητό αποτέλεσμα της κάμψης των τιμών των εγχωρίων σιτηρών, στην συντριβή της εγγείου προσόδου των τσιφλικούχων και, τελικώς, στη διάλυση των ίδιων των τσιφλικιών.</w:t>
      </w:r>
    </w:p>
    <w:p w:rsidR="00DE182D" w:rsidRPr="006D3293" w:rsidRDefault="00DE182D" w:rsidP="00780B59">
      <w:pPr>
        <w:pStyle w:val="Aaoeeu1"/>
        <w:ind w:left="567" w:right="340"/>
        <w:jc w:val="both"/>
        <w:rPr>
          <w:rFonts w:asciiTheme="minorHAnsi" w:hAnsiTheme="minorHAnsi" w:cstheme="minorHAnsi"/>
          <w:color w:val="000000"/>
          <w:sz w:val="22"/>
          <w:szCs w:val="22"/>
        </w:rPr>
      </w:pPr>
      <w:r w:rsidRPr="006D3293">
        <w:rPr>
          <w:rFonts w:asciiTheme="minorHAnsi" w:hAnsiTheme="minorHAnsi" w:cstheme="minorHAnsi"/>
          <w:color w:val="000000"/>
          <w:sz w:val="22"/>
          <w:szCs w:val="22"/>
        </w:rPr>
        <w:t xml:space="preserve">Πλην όμως, εάν η πολιτική του ελληνικού κράτους, εξυπηρετώντας τις ανάγκες του αστικού καπιταλισμού ως τα 1880, είχε χαρακτηριστεί από την δυσπιστία και την εχθρότητα έναντι των μεγάλων γαιοκτημόνων, η προσάρτηση της Θεσσαλίας αποτέλεσε τον ιστορικό σταθμό μιας αιφνίδιας μεταστροφής στην ελληνική κυβερνητική πολιτική. Από της ημερομηνίας αυτής, οι ελληνικής κυβερνήσεις προσπάθησαν, αντίθετα με τις μέχρι τότε συνήθειες τους, να συμφιλιώσουν μια προστατευτική βιομηχανική πολιτική με μια εξ’ ίσου ενθαρρυντική και προστατευτική πολιτική υπέρ της </w:t>
      </w:r>
      <w:proofErr w:type="spellStart"/>
      <w:r w:rsidRPr="006D3293">
        <w:rPr>
          <w:rFonts w:asciiTheme="minorHAnsi" w:hAnsiTheme="minorHAnsi" w:cstheme="minorHAnsi"/>
          <w:color w:val="000000"/>
          <w:sz w:val="22"/>
          <w:szCs w:val="22"/>
        </w:rPr>
        <w:t>τσιφλικικής</w:t>
      </w:r>
      <w:proofErr w:type="spellEnd"/>
      <w:r w:rsidRPr="006D3293">
        <w:rPr>
          <w:rFonts w:asciiTheme="minorHAnsi" w:hAnsiTheme="minorHAnsi" w:cstheme="minorHAnsi"/>
          <w:color w:val="000000"/>
          <w:sz w:val="22"/>
          <w:szCs w:val="22"/>
        </w:rPr>
        <w:t xml:space="preserve"> οικονομίας των σιτηρών και των κτηνοτροφικών προϊόντων. </w:t>
      </w:r>
    </w:p>
    <w:p w:rsidR="00DE182D" w:rsidRPr="006D3293" w:rsidRDefault="00DE182D" w:rsidP="00780B59">
      <w:pPr>
        <w:pStyle w:val="Aaoeeu1"/>
        <w:ind w:left="567" w:right="340"/>
        <w:jc w:val="both"/>
        <w:rPr>
          <w:rFonts w:asciiTheme="minorHAnsi" w:hAnsiTheme="minorHAnsi" w:cstheme="minorHAnsi"/>
          <w:color w:val="000000"/>
          <w:sz w:val="22"/>
          <w:szCs w:val="22"/>
        </w:rPr>
      </w:pPr>
      <w:r w:rsidRPr="006D3293">
        <w:rPr>
          <w:rFonts w:asciiTheme="minorHAnsi" w:hAnsiTheme="minorHAnsi" w:cstheme="minorHAnsi"/>
          <w:color w:val="000000"/>
          <w:sz w:val="22"/>
          <w:szCs w:val="22"/>
        </w:rPr>
        <w:t xml:space="preserve">Χωρίς αμφιβολία, παρά τις προσπάθειες του Χαριλάου Τρικούπη και των διαδόχων του, η συμφιλιωτική πολιτική ανάμεσα στον αστικό και στον αγροτικό καπιταλισμό αποδείχθηκε όχι μόνον χιμαιρική, αλλά επίσης ένας παράγων καθυστέρησης της βιομηχανικής ανάπτυξης. </w:t>
      </w:r>
    </w:p>
    <w:p w:rsidR="00DE182D" w:rsidRPr="006D3293" w:rsidRDefault="00DE182D" w:rsidP="00780B59">
      <w:pPr>
        <w:pStyle w:val="Aaoeeu1"/>
        <w:ind w:left="567" w:right="340"/>
        <w:jc w:val="both"/>
        <w:rPr>
          <w:rFonts w:asciiTheme="minorHAnsi" w:hAnsiTheme="minorHAnsi" w:cstheme="minorHAnsi"/>
          <w:color w:val="000000"/>
          <w:sz w:val="22"/>
          <w:szCs w:val="22"/>
        </w:rPr>
      </w:pPr>
      <w:r w:rsidRPr="006D3293">
        <w:rPr>
          <w:rFonts w:asciiTheme="minorHAnsi" w:hAnsiTheme="minorHAnsi" w:cstheme="minorHAnsi"/>
          <w:color w:val="000000"/>
          <w:sz w:val="22"/>
          <w:szCs w:val="22"/>
        </w:rPr>
        <w:t xml:space="preserve">Ασφαλώς, εάν σε μια μεταγενέστερη εποχή, μετά τα 1900 σημειώθηκε μια νέα μεταστροφή στην πολιτική του ελληνικού κράτους, αυτό οφείλεται στην εν των μεταξύ συνειδητοποίηση της ανυπέρβλητης αντίθεσης που χώριζε -και πάντα χωρίζει- την εκβιομηχάνιση από τα τσιφλίκια και την μεγάλη έγγειο ιδιοκτησία γενικότερα. Η νέα μεταστροφή της γεωργικής πολιτικής εκφράστηκε τελικώς στα 1917, με τον νόμο της αγροτικής μεταρρύθμισης, υπέρ της κατάτμησης των τσιφλικιών προς όφελος της μικρής εμπορευματικής παραγωγής και ιδιοκτησίας. </w:t>
      </w:r>
    </w:p>
    <w:p w:rsidR="006A0D6E" w:rsidRPr="008A1B66" w:rsidRDefault="00DE182D" w:rsidP="008A1B66">
      <w:pPr>
        <w:pStyle w:val="Aaoeeu1"/>
        <w:ind w:left="567" w:right="340"/>
        <w:jc w:val="both"/>
        <w:rPr>
          <w:rFonts w:asciiTheme="minorHAnsi" w:hAnsiTheme="minorHAnsi" w:cstheme="minorHAnsi"/>
          <w:color w:val="000000"/>
          <w:sz w:val="22"/>
          <w:szCs w:val="22"/>
        </w:rPr>
      </w:pPr>
      <w:r w:rsidRPr="006D3293">
        <w:rPr>
          <w:rFonts w:asciiTheme="minorHAnsi" w:hAnsiTheme="minorHAnsi" w:cstheme="minorHAnsi"/>
          <w:color w:val="000000"/>
          <w:sz w:val="22"/>
          <w:szCs w:val="22"/>
        </w:rPr>
        <w:t xml:space="preserve">Ένα πρόβλημα ανάλογο με το ελληνικό του 1880, τέθηκε στην γειτονική Ιταλία απ’ τα 1860. Κατά ένα τρόπο, το ιταλικό </w:t>
      </w:r>
      <w:proofErr w:type="spellStart"/>
      <w:r w:rsidRPr="006D3293">
        <w:rPr>
          <w:rFonts w:asciiTheme="minorHAnsi" w:hAnsiTheme="minorHAnsi" w:cstheme="minorHAnsi"/>
          <w:color w:val="000000"/>
          <w:sz w:val="22"/>
          <w:szCs w:val="22"/>
        </w:rPr>
        <w:t>Risorgimento</w:t>
      </w:r>
      <w:proofErr w:type="spellEnd"/>
      <w:r w:rsidRPr="006D3293">
        <w:rPr>
          <w:rFonts w:asciiTheme="minorHAnsi" w:hAnsiTheme="minorHAnsi" w:cstheme="minorHAnsi"/>
          <w:color w:val="000000"/>
          <w:sz w:val="22"/>
          <w:szCs w:val="22"/>
        </w:rPr>
        <w:t xml:space="preserve"> σφραγίστηκε βαθύτατα από την αντίθεση μεταξύ του βιομηχανικού Βορρά και του αγροτικού – </w:t>
      </w:r>
      <w:proofErr w:type="spellStart"/>
      <w:r w:rsidRPr="006D3293">
        <w:rPr>
          <w:rFonts w:asciiTheme="minorHAnsi" w:hAnsiTheme="minorHAnsi" w:cstheme="minorHAnsi"/>
          <w:color w:val="000000"/>
          <w:sz w:val="22"/>
          <w:szCs w:val="22"/>
        </w:rPr>
        <w:t>λατιφουντιακού</w:t>
      </w:r>
      <w:proofErr w:type="spellEnd"/>
      <w:r w:rsidRPr="006D3293">
        <w:rPr>
          <w:rFonts w:asciiTheme="minorHAnsi" w:hAnsiTheme="minorHAnsi" w:cstheme="minorHAnsi"/>
          <w:color w:val="000000"/>
          <w:sz w:val="22"/>
          <w:szCs w:val="22"/>
        </w:rPr>
        <w:t xml:space="preserve"> Νότου. </w:t>
      </w:r>
    </w:p>
    <w:p w:rsidR="00DE182D" w:rsidRPr="006D3293" w:rsidRDefault="00DE182D" w:rsidP="00780B59">
      <w:pPr>
        <w:pStyle w:val="Aaoeeu1"/>
        <w:ind w:left="567" w:right="340"/>
        <w:jc w:val="both"/>
        <w:rPr>
          <w:rFonts w:asciiTheme="minorHAnsi" w:hAnsiTheme="minorHAnsi" w:cstheme="minorHAnsi"/>
          <w:color w:val="000000"/>
          <w:sz w:val="22"/>
          <w:szCs w:val="22"/>
        </w:rPr>
      </w:pPr>
      <w:r w:rsidRPr="006D3293">
        <w:rPr>
          <w:rFonts w:asciiTheme="minorHAnsi" w:hAnsiTheme="minorHAnsi" w:cstheme="minorHAnsi"/>
          <w:color w:val="000000"/>
          <w:sz w:val="22"/>
          <w:szCs w:val="22"/>
        </w:rPr>
        <w:t xml:space="preserve">Κ. </w:t>
      </w:r>
      <w:proofErr w:type="spellStart"/>
      <w:r w:rsidRPr="006D3293">
        <w:rPr>
          <w:rFonts w:asciiTheme="minorHAnsi" w:hAnsiTheme="minorHAnsi" w:cstheme="minorHAnsi"/>
          <w:color w:val="000000"/>
          <w:sz w:val="22"/>
          <w:szCs w:val="22"/>
        </w:rPr>
        <w:t>Βεργόπουλου</w:t>
      </w:r>
      <w:proofErr w:type="spellEnd"/>
      <w:r w:rsidRPr="006D3293">
        <w:rPr>
          <w:rFonts w:asciiTheme="minorHAnsi" w:hAnsiTheme="minorHAnsi" w:cstheme="minorHAnsi"/>
          <w:color w:val="000000"/>
          <w:sz w:val="22"/>
          <w:szCs w:val="22"/>
        </w:rPr>
        <w:t xml:space="preserve">, Το αγροτικό ζήτημα στην Ελλάδα,  Η κοινωνική ενσωμάτωση της γεωργίας, </w:t>
      </w:r>
      <w:proofErr w:type="spellStart"/>
      <w:r w:rsidRPr="006D3293">
        <w:rPr>
          <w:rFonts w:asciiTheme="minorHAnsi" w:hAnsiTheme="minorHAnsi" w:cstheme="minorHAnsi"/>
          <w:color w:val="000000"/>
          <w:sz w:val="22"/>
          <w:szCs w:val="22"/>
        </w:rPr>
        <w:t>σσ</w:t>
      </w:r>
      <w:proofErr w:type="spellEnd"/>
      <w:r w:rsidRPr="006D3293">
        <w:rPr>
          <w:rFonts w:asciiTheme="minorHAnsi" w:hAnsiTheme="minorHAnsi" w:cstheme="minorHAnsi"/>
          <w:color w:val="000000"/>
          <w:sz w:val="22"/>
          <w:szCs w:val="22"/>
        </w:rPr>
        <w:t>. 139-140.</w:t>
      </w:r>
    </w:p>
    <w:p w:rsidR="00DE182D" w:rsidRPr="006D3293" w:rsidRDefault="00DE182D" w:rsidP="00780B59">
      <w:pPr>
        <w:jc w:val="both"/>
        <w:rPr>
          <w:rFonts w:cstheme="minorHAnsi"/>
        </w:rPr>
      </w:pPr>
    </w:p>
    <w:p w:rsidR="00DE182D" w:rsidRPr="006D3293" w:rsidRDefault="00DE182D" w:rsidP="006D3293">
      <w:pPr>
        <w:pStyle w:val="a4"/>
        <w:numPr>
          <w:ilvl w:val="0"/>
          <w:numId w:val="1"/>
        </w:numPr>
        <w:jc w:val="both"/>
        <w:rPr>
          <w:rFonts w:cstheme="minorHAnsi"/>
        </w:rPr>
      </w:pPr>
      <w:r w:rsidRPr="006D3293">
        <w:rPr>
          <w:rFonts w:cstheme="minorHAnsi"/>
        </w:rPr>
        <w:t>Να περιγράψετε τη στάση του Ελληνικού κράτους απέναντι στην αγροτική ιδιοκτησία την περίοδο 1850-1900.</w:t>
      </w:r>
    </w:p>
    <w:p w:rsidR="00780B59" w:rsidRDefault="00780B59" w:rsidP="00780B59">
      <w:pPr>
        <w:jc w:val="both"/>
        <w:rPr>
          <w:rFonts w:cstheme="minorHAnsi"/>
          <w:sz w:val="24"/>
          <w:szCs w:val="24"/>
        </w:rPr>
      </w:pPr>
    </w:p>
    <w:p w:rsidR="00DE182D" w:rsidRPr="00450E40" w:rsidRDefault="006D3293" w:rsidP="00780B59">
      <w:pPr>
        <w:pStyle w:val="Aaoeeu1"/>
        <w:ind w:right="341"/>
        <w:jc w:val="both"/>
        <w:rPr>
          <w:rFonts w:asciiTheme="minorHAnsi" w:hAnsiTheme="minorHAnsi" w:cstheme="minorHAnsi"/>
          <w:color w:val="000000"/>
          <w:sz w:val="22"/>
          <w:szCs w:val="22"/>
        </w:rPr>
      </w:pPr>
      <w:r>
        <w:rPr>
          <w:rFonts w:asciiTheme="minorHAnsi" w:hAnsiTheme="minorHAnsi" w:cstheme="minorHAnsi"/>
          <w:color w:val="000000"/>
          <w:sz w:val="22"/>
          <w:szCs w:val="22"/>
        </w:rPr>
        <w:t>Τ</w:t>
      </w:r>
      <w:r w:rsidR="00DE182D" w:rsidRPr="00450E40">
        <w:rPr>
          <w:rFonts w:asciiTheme="minorHAnsi" w:hAnsiTheme="minorHAnsi" w:cstheme="minorHAnsi"/>
          <w:color w:val="000000"/>
          <w:sz w:val="22"/>
          <w:szCs w:val="22"/>
        </w:rPr>
        <w:t xml:space="preserve">ελικά το Μάρτιο του 1871, ο Κουμουνδούρος, με υπουργό το Σωτηρόπουλο, πέτυχε την ψήφιση νόμου με αποτέλεσμα να διανεμηθούν 2.650.000 στρέμματα σε 357.217 κλήρους με αγοραία αξία 90.000.000 δρχ. </w:t>
      </w:r>
    </w:p>
    <w:p w:rsidR="00DE182D" w:rsidRPr="00450E40" w:rsidRDefault="00DE182D" w:rsidP="00780B59">
      <w:pPr>
        <w:jc w:val="both"/>
        <w:rPr>
          <w:rFonts w:cstheme="minorHAnsi"/>
          <w:color w:val="000000"/>
        </w:rPr>
      </w:pPr>
      <w:r w:rsidRPr="00450E40">
        <w:rPr>
          <w:rFonts w:cstheme="minorHAnsi"/>
          <w:color w:val="000000"/>
        </w:rPr>
        <w:t xml:space="preserve">Η σημασία της αγροτικής αυτής μεταρρυθμίσεως εκτιμάται πληρέστερα, όταν συνειδητοποιηθεί το γεγονός ότι το μεγαλύτερο μέρος των Ελλήνων χωρικών της εποχής εκείνης αποκαταστάθηκαν ως ιδιοκτήτες στη γη που </w:t>
      </w:r>
      <w:proofErr w:type="spellStart"/>
      <w:r w:rsidRPr="00450E40">
        <w:rPr>
          <w:rFonts w:cstheme="minorHAnsi"/>
          <w:color w:val="000000"/>
        </w:rPr>
        <w:t>καλλιερ</w:t>
      </w:r>
      <w:proofErr w:type="spellEnd"/>
      <w:r w:rsidRPr="00450E40">
        <w:rPr>
          <w:rFonts w:cstheme="minorHAnsi"/>
          <w:color w:val="000000"/>
        </w:rPr>
        <w:t>-</w:t>
      </w:r>
      <w:proofErr w:type="spellStart"/>
      <w:r w:rsidRPr="00450E40">
        <w:rPr>
          <w:rFonts w:cstheme="minorHAnsi"/>
          <w:color w:val="000000"/>
        </w:rPr>
        <w:t>γούσαν</w:t>
      </w:r>
      <w:proofErr w:type="spellEnd"/>
      <w:r w:rsidRPr="00450E40">
        <w:rPr>
          <w:rFonts w:cstheme="minorHAnsi"/>
          <w:color w:val="000000"/>
        </w:rPr>
        <w:t>. Οι μικροί ιδιοκτήτες καλλιεργητές επιδόθηκαν, όπως ήταν φυσικό, στις πιο κερδοφόρες καλλιέργειες και ιδιαίτερα σε εκείνες που προορίζονταν για εξαγωγή. Μέσα σε διάστημα μιας τριετίας, τα 40% και πλέον των καλλιεργούμενων εκτάσεων καλύπτονταν από φυτείες (</w:t>
      </w:r>
      <w:proofErr w:type="spellStart"/>
      <w:r w:rsidRPr="00450E40">
        <w:rPr>
          <w:rFonts w:cstheme="minorHAnsi"/>
          <w:color w:val="000000"/>
        </w:rPr>
        <w:t>σταφιδαμπελώνες</w:t>
      </w:r>
      <w:proofErr w:type="spellEnd"/>
      <w:r w:rsidRPr="00450E40">
        <w:rPr>
          <w:rFonts w:cstheme="minorHAnsi"/>
          <w:color w:val="000000"/>
        </w:rPr>
        <w:t>, βαμβακοφυτείες, καπνοφυτείες, κλπ.). Οι αγαθές για την οικονομία επιπτώσεις υπήρξαν άμεσες. Από την μια πλευρά παρατηρήθηκε ραγδαία εισροή ξένου συναλλάγματος και από την άλλη τα έσοδα του Δημοσίου από τους τελωνειακούς δασμούς εξαγωγής πολλαπλασιάσθηκαν. Τα στοιχεία για τη σταφιδοπαραγωγή και εξαγωγή σταφίδας την περίοδο 1860-1878 είναι αποκαλυπτικά</w:t>
      </w:r>
    </w:p>
    <w:tbl>
      <w:tblPr>
        <w:tblW w:w="0" w:type="auto"/>
        <w:tblInd w:w="180" w:type="dxa"/>
        <w:tblBorders>
          <w:top w:val="nil"/>
          <w:left w:val="nil"/>
          <w:bottom w:val="nil"/>
          <w:right w:val="nil"/>
        </w:tblBorders>
        <w:tblLayout w:type="fixed"/>
        <w:tblLook w:val="0000"/>
      </w:tblPr>
      <w:tblGrid>
        <w:gridCol w:w="2174"/>
        <w:gridCol w:w="560"/>
        <w:gridCol w:w="1119"/>
        <w:gridCol w:w="1120"/>
        <w:gridCol w:w="559"/>
        <w:gridCol w:w="1680"/>
      </w:tblGrid>
      <w:tr w:rsidR="00DE182D" w:rsidRPr="00450E40">
        <w:trPr>
          <w:trHeight w:val="221"/>
        </w:trPr>
        <w:tc>
          <w:tcPr>
            <w:tcW w:w="2734" w:type="dxa"/>
            <w:gridSpan w:val="2"/>
          </w:tcPr>
          <w:p w:rsidR="00DE182D" w:rsidRPr="00450E40" w:rsidRDefault="00DE182D" w:rsidP="00780B59">
            <w:pPr>
              <w:pStyle w:val="Aaoeeu1"/>
              <w:jc w:val="center"/>
              <w:rPr>
                <w:rFonts w:asciiTheme="minorHAnsi" w:hAnsiTheme="minorHAnsi" w:cstheme="minorHAnsi"/>
                <w:color w:val="000000"/>
                <w:sz w:val="22"/>
                <w:szCs w:val="22"/>
              </w:rPr>
            </w:pPr>
            <w:r w:rsidRPr="00450E40">
              <w:rPr>
                <w:rFonts w:asciiTheme="minorHAnsi" w:hAnsiTheme="minorHAnsi" w:cstheme="minorHAnsi"/>
                <w:b/>
                <w:bCs/>
                <w:color w:val="000000"/>
                <w:sz w:val="22"/>
                <w:szCs w:val="22"/>
              </w:rPr>
              <w:t>Καλλιεργούμενα</w:t>
            </w:r>
          </w:p>
          <w:p w:rsidR="00DE182D" w:rsidRPr="00450E40" w:rsidRDefault="00DE182D" w:rsidP="00780B59">
            <w:pPr>
              <w:pStyle w:val="Aaoeeu1"/>
              <w:jc w:val="center"/>
              <w:rPr>
                <w:rFonts w:asciiTheme="minorHAnsi" w:hAnsiTheme="minorHAnsi" w:cstheme="minorHAnsi"/>
                <w:color w:val="000000"/>
                <w:sz w:val="22"/>
                <w:szCs w:val="22"/>
              </w:rPr>
            </w:pPr>
            <w:r w:rsidRPr="00450E40">
              <w:rPr>
                <w:rFonts w:asciiTheme="minorHAnsi" w:hAnsiTheme="minorHAnsi" w:cstheme="minorHAnsi"/>
                <w:b/>
                <w:bCs/>
                <w:color w:val="000000"/>
                <w:sz w:val="22"/>
                <w:szCs w:val="22"/>
              </w:rPr>
              <w:lastRenderedPageBreak/>
              <w:t>στρέμματα</w:t>
            </w:r>
          </w:p>
        </w:tc>
        <w:tc>
          <w:tcPr>
            <w:tcW w:w="2239" w:type="dxa"/>
            <w:gridSpan w:val="2"/>
          </w:tcPr>
          <w:p w:rsidR="00DE182D" w:rsidRPr="00450E40" w:rsidRDefault="00DE182D" w:rsidP="00780B59">
            <w:pPr>
              <w:pStyle w:val="Aaoeeu1"/>
              <w:jc w:val="center"/>
              <w:rPr>
                <w:rFonts w:asciiTheme="minorHAnsi" w:hAnsiTheme="minorHAnsi" w:cstheme="minorHAnsi"/>
                <w:color w:val="000000"/>
                <w:sz w:val="22"/>
                <w:szCs w:val="22"/>
              </w:rPr>
            </w:pPr>
            <w:r w:rsidRPr="00450E40">
              <w:rPr>
                <w:rFonts w:asciiTheme="minorHAnsi" w:hAnsiTheme="minorHAnsi" w:cstheme="minorHAnsi"/>
                <w:b/>
                <w:bCs/>
                <w:color w:val="000000"/>
                <w:sz w:val="22"/>
                <w:szCs w:val="22"/>
              </w:rPr>
              <w:lastRenderedPageBreak/>
              <w:t>Παραγωγή σε</w:t>
            </w:r>
          </w:p>
          <w:p w:rsidR="00DE182D" w:rsidRPr="00450E40" w:rsidRDefault="00DE182D" w:rsidP="00780B59">
            <w:pPr>
              <w:pStyle w:val="Aaoeeu1"/>
              <w:jc w:val="center"/>
              <w:rPr>
                <w:rFonts w:asciiTheme="minorHAnsi" w:hAnsiTheme="minorHAnsi" w:cstheme="minorHAnsi"/>
                <w:color w:val="000000"/>
                <w:sz w:val="22"/>
                <w:szCs w:val="22"/>
              </w:rPr>
            </w:pPr>
            <w:r w:rsidRPr="00450E40">
              <w:rPr>
                <w:rFonts w:asciiTheme="minorHAnsi" w:hAnsiTheme="minorHAnsi" w:cstheme="minorHAnsi"/>
                <w:b/>
                <w:bCs/>
                <w:color w:val="000000"/>
                <w:sz w:val="22"/>
                <w:szCs w:val="22"/>
              </w:rPr>
              <w:lastRenderedPageBreak/>
              <w:t>λίτρα ενετικά</w:t>
            </w:r>
          </w:p>
        </w:tc>
        <w:tc>
          <w:tcPr>
            <w:tcW w:w="2239" w:type="dxa"/>
            <w:gridSpan w:val="2"/>
          </w:tcPr>
          <w:p w:rsidR="00DE182D" w:rsidRPr="00450E40" w:rsidRDefault="00DE182D" w:rsidP="00780B59">
            <w:pPr>
              <w:pStyle w:val="Aaoeeu1"/>
              <w:jc w:val="center"/>
              <w:rPr>
                <w:rFonts w:asciiTheme="minorHAnsi" w:hAnsiTheme="minorHAnsi" w:cstheme="minorHAnsi"/>
                <w:color w:val="000000"/>
                <w:sz w:val="22"/>
                <w:szCs w:val="22"/>
              </w:rPr>
            </w:pPr>
            <w:r w:rsidRPr="00450E40">
              <w:rPr>
                <w:rFonts w:asciiTheme="minorHAnsi" w:hAnsiTheme="minorHAnsi" w:cstheme="minorHAnsi"/>
                <w:b/>
                <w:bCs/>
                <w:color w:val="000000"/>
                <w:sz w:val="22"/>
                <w:szCs w:val="22"/>
              </w:rPr>
              <w:lastRenderedPageBreak/>
              <w:t>Εξαγωγή σε</w:t>
            </w:r>
          </w:p>
          <w:p w:rsidR="00DE182D" w:rsidRPr="00450E40" w:rsidRDefault="00DE182D" w:rsidP="00780B59">
            <w:pPr>
              <w:pStyle w:val="Aaoeeu1"/>
              <w:jc w:val="center"/>
              <w:rPr>
                <w:rFonts w:asciiTheme="minorHAnsi" w:hAnsiTheme="minorHAnsi" w:cstheme="minorHAnsi"/>
                <w:color w:val="000000"/>
                <w:sz w:val="22"/>
                <w:szCs w:val="22"/>
              </w:rPr>
            </w:pPr>
            <w:r w:rsidRPr="00450E40">
              <w:rPr>
                <w:rFonts w:asciiTheme="minorHAnsi" w:hAnsiTheme="minorHAnsi" w:cstheme="minorHAnsi"/>
                <w:b/>
                <w:bCs/>
                <w:color w:val="000000"/>
                <w:sz w:val="22"/>
                <w:szCs w:val="22"/>
              </w:rPr>
              <w:lastRenderedPageBreak/>
              <w:t>λίτρα ενετικά</w:t>
            </w:r>
          </w:p>
        </w:tc>
      </w:tr>
      <w:tr w:rsidR="00DE182D" w:rsidRPr="00450E40" w:rsidTr="00780B59">
        <w:trPr>
          <w:trHeight w:val="105"/>
        </w:trPr>
        <w:tc>
          <w:tcPr>
            <w:tcW w:w="2174" w:type="dxa"/>
          </w:tcPr>
          <w:p w:rsidR="00DE182D" w:rsidRPr="00450E40" w:rsidRDefault="00DE182D" w:rsidP="00780B59">
            <w:pPr>
              <w:pStyle w:val="Aaoeeu1"/>
              <w:jc w:val="center"/>
              <w:rPr>
                <w:rFonts w:asciiTheme="minorHAnsi" w:hAnsiTheme="minorHAnsi" w:cstheme="minorHAnsi"/>
                <w:color w:val="000000"/>
                <w:sz w:val="22"/>
                <w:szCs w:val="22"/>
              </w:rPr>
            </w:pPr>
            <w:r w:rsidRPr="00450E40">
              <w:rPr>
                <w:rFonts w:asciiTheme="minorHAnsi" w:hAnsiTheme="minorHAnsi" w:cstheme="minorHAnsi"/>
                <w:color w:val="000000"/>
                <w:sz w:val="22"/>
                <w:szCs w:val="22"/>
              </w:rPr>
              <w:lastRenderedPageBreak/>
              <w:t>1860</w:t>
            </w:r>
          </w:p>
        </w:tc>
        <w:tc>
          <w:tcPr>
            <w:tcW w:w="1679" w:type="dxa"/>
            <w:gridSpan w:val="2"/>
          </w:tcPr>
          <w:p w:rsidR="00DE182D" w:rsidRPr="00450E40" w:rsidRDefault="00DE182D" w:rsidP="00780B59">
            <w:pPr>
              <w:pStyle w:val="Aaoeeu1"/>
              <w:jc w:val="center"/>
              <w:rPr>
                <w:rFonts w:asciiTheme="minorHAnsi" w:hAnsiTheme="minorHAnsi" w:cstheme="minorHAnsi"/>
                <w:color w:val="000000"/>
                <w:sz w:val="22"/>
                <w:szCs w:val="22"/>
              </w:rPr>
            </w:pPr>
            <w:r w:rsidRPr="00450E40">
              <w:rPr>
                <w:rFonts w:asciiTheme="minorHAnsi" w:hAnsiTheme="minorHAnsi" w:cstheme="minorHAnsi"/>
                <w:color w:val="000000"/>
                <w:sz w:val="22"/>
                <w:szCs w:val="22"/>
              </w:rPr>
              <w:t>220.428</w:t>
            </w:r>
          </w:p>
        </w:tc>
        <w:tc>
          <w:tcPr>
            <w:tcW w:w="1679" w:type="dxa"/>
            <w:gridSpan w:val="2"/>
          </w:tcPr>
          <w:p w:rsidR="00DE182D" w:rsidRPr="00450E40" w:rsidRDefault="00DE182D" w:rsidP="00780B59">
            <w:pPr>
              <w:pStyle w:val="Aaoeeu1"/>
              <w:jc w:val="center"/>
              <w:rPr>
                <w:rFonts w:asciiTheme="minorHAnsi" w:hAnsiTheme="minorHAnsi" w:cstheme="minorHAnsi"/>
                <w:color w:val="000000"/>
                <w:sz w:val="22"/>
                <w:szCs w:val="22"/>
              </w:rPr>
            </w:pPr>
            <w:r w:rsidRPr="00450E40">
              <w:rPr>
                <w:rFonts w:asciiTheme="minorHAnsi" w:hAnsiTheme="minorHAnsi" w:cstheme="minorHAnsi"/>
                <w:color w:val="000000"/>
                <w:sz w:val="22"/>
                <w:szCs w:val="22"/>
              </w:rPr>
              <w:t>110.228.000</w:t>
            </w:r>
          </w:p>
        </w:tc>
        <w:tc>
          <w:tcPr>
            <w:tcW w:w="1680" w:type="dxa"/>
          </w:tcPr>
          <w:p w:rsidR="00DE182D" w:rsidRPr="00450E40" w:rsidRDefault="00DE182D" w:rsidP="00780B59">
            <w:pPr>
              <w:pStyle w:val="Aaoeeu1"/>
              <w:jc w:val="center"/>
              <w:rPr>
                <w:rFonts w:asciiTheme="minorHAnsi" w:hAnsiTheme="minorHAnsi" w:cstheme="minorHAnsi"/>
                <w:color w:val="000000"/>
                <w:sz w:val="22"/>
                <w:szCs w:val="22"/>
              </w:rPr>
            </w:pPr>
            <w:r w:rsidRPr="00450E40">
              <w:rPr>
                <w:rFonts w:asciiTheme="minorHAnsi" w:hAnsiTheme="minorHAnsi" w:cstheme="minorHAnsi"/>
                <w:color w:val="000000"/>
                <w:sz w:val="22"/>
                <w:szCs w:val="22"/>
              </w:rPr>
              <w:t>101.707.075</w:t>
            </w:r>
          </w:p>
        </w:tc>
      </w:tr>
      <w:tr w:rsidR="00DE182D" w:rsidRPr="00450E40" w:rsidTr="00780B59">
        <w:trPr>
          <w:trHeight w:val="105"/>
        </w:trPr>
        <w:tc>
          <w:tcPr>
            <w:tcW w:w="2174" w:type="dxa"/>
          </w:tcPr>
          <w:p w:rsidR="00DE182D" w:rsidRPr="00450E40" w:rsidRDefault="00DE182D" w:rsidP="00780B59">
            <w:pPr>
              <w:pStyle w:val="Aaoeeu1"/>
              <w:jc w:val="center"/>
              <w:rPr>
                <w:rFonts w:asciiTheme="minorHAnsi" w:hAnsiTheme="minorHAnsi" w:cstheme="minorHAnsi"/>
                <w:color w:val="000000"/>
                <w:sz w:val="22"/>
                <w:szCs w:val="22"/>
              </w:rPr>
            </w:pPr>
            <w:r w:rsidRPr="00450E40">
              <w:rPr>
                <w:rFonts w:asciiTheme="minorHAnsi" w:hAnsiTheme="minorHAnsi" w:cstheme="minorHAnsi"/>
                <w:color w:val="000000"/>
                <w:sz w:val="22"/>
                <w:szCs w:val="22"/>
              </w:rPr>
              <w:t>1870</w:t>
            </w:r>
          </w:p>
        </w:tc>
        <w:tc>
          <w:tcPr>
            <w:tcW w:w="1679" w:type="dxa"/>
            <w:gridSpan w:val="2"/>
          </w:tcPr>
          <w:p w:rsidR="00DE182D" w:rsidRPr="00450E40" w:rsidRDefault="00DE182D" w:rsidP="00780B59">
            <w:pPr>
              <w:pStyle w:val="Aaoeeu1"/>
              <w:jc w:val="center"/>
              <w:rPr>
                <w:rFonts w:asciiTheme="minorHAnsi" w:hAnsiTheme="minorHAnsi" w:cstheme="minorHAnsi"/>
                <w:color w:val="000000"/>
                <w:sz w:val="22"/>
                <w:szCs w:val="22"/>
              </w:rPr>
            </w:pPr>
            <w:r w:rsidRPr="00450E40">
              <w:rPr>
                <w:rFonts w:asciiTheme="minorHAnsi" w:hAnsiTheme="minorHAnsi" w:cstheme="minorHAnsi"/>
                <w:color w:val="000000"/>
                <w:sz w:val="22"/>
                <w:szCs w:val="22"/>
              </w:rPr>
              <w:t>221.164</w:t>
            </w:r>
          </w:p>
        </w:tc>
        <w:tc>
          <w:tcPr>
            <w:tcW w:w="1679" w:type="dxa"/>
            <w:gridSpan w:val="2"/>
          </w:tcPr>
          <w:p w:rsidR="00DE182D" w:rsidRPr="00450E40" w:rsidRDefault="00DE182D" w:rsidP="00780B59">
            <w:pPr>
              <w:pStyle w:val="Aaoeeu1"/>
              <w:jc w:val="center"/>
              <w:rPr>
                <w:rFonts w:asciiTheme="minorHAnsi" w:hAnsiTheme="minorHAnsi" w:cstheme="minorHAnsi"/>
                <w:color w:val="000000"/>
                <w:sz w:val="22"/>
                <w:szCs w:val="22"/>
              </w:rPr>
            </w:pPr>
            <w:r w:rsidRPr="00450E40">
              <w:rPr>
                <w:rFonts w:asciiTheme="minorHAnsi" w:hAnsiTheme="minorHAnsi" w:cstheme="minorHAnsi"/>
                <w:color w:val="000000"/>
                <w:sz w:val="22"/>
                <w:szCs w:val="22"/>
              </w:rPr>
              <w:t>114.700.000</w:t>
            </w:r>
          </w:p>
        </w:tc>
        <w:tc>
          <w:tcPr>
            <w:tcW w:w="1680" w:type="dxa"/>
          </w:tcPr>
          <w:p w:rsidR="00DE182D" w:rsidRPr="00450E40" w:rsidRDefault="00DE182D" w:rsidP="00780B59">
            <w:pPr>
              <w:pStyle w:val="Aaoeeu1"/>
              <w:jc w:val="center"/>
              <w:rPr>
                <w:rFonts w:asciiTheme="minorHAnsi" w:hAnsiTheme="minorHAnsi" w:cstheme="minorHAnsi"/>
                <w:color w:val="000000"/>
                <w:sz w:val="22"/>
                <w:szCs w:val="22"/>
              </w:rPr>
            </w:pPr>
            <w:r w:rsidRPr="00450E40">
              <w:rPr>
                <w:rFonts w:asciiTheme="minorHAnsi" w:hAnsiTheme="minorHAnsi" w:cstheme="minorHAnsi"/>
                <w:color w:val="000000"/>
                <w:sz w:val="22"/>
                <w:szCs w:val="22"/>
              </w:rPr>
              <w:t>120.000.000</w:t>
            </w:r>
          </w:p>
        </w:tc>
      </w:tr>
      <w:tr w:rsidR="00DE182D" w:rsidRPr="00450E40" w:rsidTr="00780B59">
        <w:trPr>
          <w:trHeight w:val="105"/>
        </w:trPr>
        <w:tc>
          <w:tcPr>
            <w:tcW w:w="2174" w:type="dxa"/>
          </w:tcPr>
          <w:p w:rsidR="00DE182D" w:rsidRPr="00450E40" w:rsidRDefault="00DE182D" w:rsidP="00780B59">
            <w:pPr>
              <w:pStyle w:val="Aaoeeu1"/>
              <w:jc w:val="center"/>
              <w:rPr>
                <w:rFonts w:asciiTheme="minorHAnsi" w:hAnsiTheme="minorHAnsi" w:cstheme="minorHAnsi"/>
                <w:color w:val="000000"/>
                <w:sz w:val="22"/>
                <w:szCs w:val="22"/>
              </w:rPr>
            </w:pPr>
            <w:r w:rsidRPr="00450E40">
              <w:rPr>
                <w:rFonts w:asciiTheme="minorHAnsi" w:hAnsiTheme="minorHAnsi" w:cstheme="minorHAnsi"/>
                <w:color w:val="000000"/>
                <w:sz w:val="22"/>
                <w:szCs w:val="22"/>
              </w:rPr>
              <w:t>1878</w:t>
            </w:r>
          </w:p>
        </w:tc>
        <w:tc>
          <w:tcPr>
            <w:tcW w:w="1679" w:type="dxa"/>
            <w:gridSpan w:val="2"/>
          </w:tcPr>
          <w:p w:rsidR="00DE182D" w:rsidRPr="00450E40" w:rsidRDefault="00DE182D" w:rsidP="00780B59">
            <w:pPr>
              <w:pStyle w:val="Aaoeeu1"/>
              <w:jc w:val="center"/>
              <w:rPr>
                <w:rFonts w:asciiTheme="minorHAnsi" w:hAnsiTheme="minorHAnsi" w:cstheme="minorHAnsi"/>
                <w:color w:val="000000"/>
                <w:sz w:val="22"/>
                <w:szCs w:val="22"/>
              </w:rPr>
            </w:pPr>
            <w:r w:rsidRPr="00450E40">
              <w:rPr>
                <w:rFonts w:asciiTheme="minorHAnsi" w:hAnsiTheme="minorHAnsi" w:cstheme="minorHAnsi"/>
                <w:color w:val="000000"/>
                <w:sz w:val="22"/>
                <w:szCs w:val="22"/>
              </w:rPr>
              <w:t>435.000</w:t>
            </w:r>
          </w:p>
        </w:tc>
        <w:tc>
          <w:tcPr>
            <w:tcW w:w="1679" w:type="dxa"/>
            <w:gridSpan w:val="2"/>
          </w:tcPr>
          <w:p w:rsidR="00DE182D" w:rsidRPr="00450E40" w:rsidRDefault="00DE182D" w:rsidP="00780B59">
            <w:pPr>
              <w:pStyle w:val="Aaoeeu1"/>
              <w:jc w:val="center"/>
              <w:rPr>
                <w:rFonts w:asciiTheme="minorHAnsi" w:hAnsiTheme="minorHAnsi" w:cstheme="minorHAnsi"/>
                <w:color w:val="000000"/>
                <w:sz w:val="22"/>
                <w:szCs w:val="22"/>
              </w:rPr>
            </w:pPr>
            <w:r w:rsidRPr="00450E40">
              <w:rPr>
                <w:rFonts w:asciiTheme="minorHAnsi" w:hAnsiTheme="minorHAnsi" w:cstheme="minorHAnsi"/>
                <w:color w:val="000000"/>
                <w:sz w:val="22"/>
                <w:szCs w:val="22"/>
              </w:rPr>
              <w:t>217.500.000</w:t>
            </w:r>
          </w:p>
        </w:tc>
        <w:tc>
          <w:tcPr>
            <w:tcW w:w="1680" w:type="dxa"/>
          </w:tcPr>
          <w:p w:rsidR="00DE182D" w:rsidRPr="00450E40" w:rsidRDefault="00DE182D" w:rsidP="00780B59">
            <w:pPr>
              <w:pStyle w:val="Aaoeeu1"/>
              <w:jc w:val="center"/>
              <w:rPr>
                <w:rFonts w:asciiTheme="minorHAnsi" w:hAnsiTheme="minorHAnsi" w:cstheme="minorHAnsi"/>
                <w:color w:val="000000"/>
                <w:sz w:val="22"/>
                <w:szCs w:val="22"/>
              </w:rPr>
            </w:pPr>
            <w:r w:rsidRPr="00450E40">
              <w:rPr>
                <w:rFonts w:asciiTheme="minorHAnsi" w:hAnsiTheme="minorHAnsi" w:cstheme="minorHAnsi"/>
                <w:color w:val="000000"/>
                <w:sz w:val="22"/>
                <w:szCs w:val="22"/>
              </w:rPr>
              <w:t>210.000.000</w:t>
            </w:r>
          </w:p>
        </w:tc>
      </w:tr>
    </w:tbl>
    <w:p w:rsidR="00780B59" w:rsidRPr="00450E40" w:rsidRDefault="00780B59" w:rsidP="00780B59">
      <w:pPr>
        <w:pStyle w:val="Aaoeeu1"/>
        <w:ind w:left="567" w:right="341"/>
        <w:jc w:val="both"/>
        <w:rPr>
          <w:rFonts w:asciiTheme="minorHAnsi" w:hAnsiTheme="minorHAnsi" w:cstheme="minorHAnsi"/>
          <w:color w:val="000000"/>
          <w:sz w:val="22"/>
          <w:szCs w:val="22"/>
        </w:rPr>
      </w:pPr>
      <w:r w:rsidRPr="00450E40">
        <w:rPr>
          <w:rFonts w:asciiTheme="minorHAnsi" w:hAnsiTheme="minorHAnsi" w:cstheme="minorHAnsi"/>
          <w:color w:val="000000"/>
          <w:sz w:val="22"/>
          <w:szCs w:val="22"/>
        </w:rPr>
        <w:t xml:space="preserve">Η επέκταση όμως των </w:t>
      </w:r>
      <w:proofErr w:type="spellStart"/>
      <w:r w:rsidRPr="00450E40">
        <w:rPr>
          <w:rFonts w:asciiTheme="minorHAnsi" w:hAnsiTheme="minorHAnsi" w:cstheme="minorHAnsi"/>
          <w:color w:val="000000"/>
          <w:sz w:val="22"/>
          <w:szCs w:val="22"/>
        </w:rPr>
        <w:t>φυτειοκαλλιεργειών</w:t>
      </w:r>
      <w:proofErr w:type="spellEnd"/>
      <w:r w:rsidRPr="00450E40">
        <w:rPr>
          <w:rFonts w:asciiTheme="minorHAnsi" w:hAnsiTheme="minorHAnsi" w:cstheme="minorHAnsi"/>
          <w:color w:val="000000"/>
          <w:sz w:val="22"/>
          <w:szCs w:val="22"/>
        </w:rPr>
        <w:t xml:space="preserve"> επηρέασε αρνητικά την παραγωγή δημητριακών. Από την εποχή εκείνη σημειώνεται το χρόνιο έλλειμμα της χώρας με συνεπακόλουθο τη δαπάνη τεράστιων συναλλαγματικών </w:t>
      </w:r>
      <w:proofErr w:type="spellStart"/>
      <w:r w:rsidRPr="00450E40">
        <w:rPr>
          <w:rFonts w:asciiTheme="minorHAnsi" w:hAnsiTheme="minorHAnsi" w:cstheme="minorHAnsi"/>
          <w:color w:val="000000"/>
          <w:sz w:val="22"/>
          <w:szCs w:val="22"/>
        </w:rPr>
        <w:t>αποθεμά</w:t>
      </w:r>
      <w:proofErr w:type="spellEnd"/>
      <w:r w:rsidRPr="00450E40">
        <w:rPr>
          <w:rFonts w:asciiTheme="minorHAnsi" w:hAnsiTheme="minorHAnsi" w:cstheme="minorHAnsi"/>
          <w:color w:val="000000"/>
          <w:sz w:val="22"/>
          <w:szCs w:val="22"/>
        </w:rPr>
        <w:t xml:space="preserve">-των για εισαγωγές. </w:t>
      </w:r>
    </w:p>
    <w:p w:rsidR="00780B59" w:rsidRPr="00450E40" w:rsidRDefault="00780B59" w:rsidP="00780B59">
      <w:pPr>
        <w:pStyle w:val="Aaoeeu1"/>
        <w:ind w:left="567" w:right="341"/>
        <w:jc w:val="both"/>
        <w:rPr>
          <w:rFonts w:asciiTheme="minorHAnsi" w:hAnsiTheme="minorHAnsi" w:cstheme="minorHAnsi"/>
          <w:color w:val="000000"/>
          <w:sz w:val="22"/>
          <w:szCs w:val="22"/>
        </w:rPr>
      </w:pPr>
      <w:r w:rsidRPr="00450E40">
        <w:rPr>
          <w:rFonts w:asciiTheme="minorHAnsi" w:hAnsiTheme="minorHAnsi" w:cstheme="minorHAnsi"/>
          <w:color w:val="000000"/>
          <w:sz w:val="22"/>
          <w:szCs w:val="22"/>
        </w:rPr>
        <w:t xml:space="preserve">………………………………………………………………………………………… </w:t>
      </w:r>
    </w:p>
    <w:p w:rsidR="00780B59" w:rsidRPr="00450E40" w:rsidRDefault="00780B59" w:rsidP="00780B59">
      <w:pPr>
        <w:pStyle w:val="Aaoeeu1"/>
        <w:ind w:left="567" w:right="341"/>
        <w:jc w:val="both"/>
        <w:rPr>
          <w:rFonts w:asciiTheme="minorHAnsi" w:hAnsiTheme="minorHAnsi" w:cstheme="minorHAnsi"/>
          <w:color w:val="000000"/>
          <w:sz w:val="22"/>
          <w:szCs w:val="22"/>
        </w:rPr>
      </w:pPr>
      <w:r w:rsidRPr="00450E40">
        <w:rPr>
          <w:rFonts w:asciiTheme="minorHAnsi" w:hAnsiTheme="minorHAnsi" w:cstheme="minorHAnsi"/>
          <w:color w:val="000000"/>
          <w:sz w:val="22"/>
          <w:szCs w:val="22"/>
        </w:rPr>
        <w:t xml:space="preserve">Η αγροτική μεταρρύθμιση έλυσε το πρόβλημα της εθνικής γης. Δεν έθιξε όμως καθόλου των μεγάλων ιδιωτικών εκτάσεων της Αττικής (170.000 στρέμματα ή 40% περίπου του συνόλου), τα οποία είχαν </w:t>
      </w:r>
      <w:proofErr w:type="spellStart"/>
      <w:r w:rsidRPr="00450E40">
        <w:rPr>
          <w:rFonts w:asciiTheme="minorHAnsi" w:hAnsiTheme="minorHAnsi" w:cstheme="minorHAnsi"/>
          <w:color w:val="000000"/>
          <w:sz w:val="22"/>
          <w:szCs w:val="22"/>
        </w:rPr>
        <w:t>τσιφλικοποιηθεί</w:t>
      </w:r>
      <w:proofErr w:type="spellEnd"/>
      <w:r w:rsidRPr="00450E40">
        <w:rPr>
          <w:rFonts w:asciiTheme="minorHAnsi" w:hAnsiTheme="minorHAnsi" w:cstheme="minorHAnsi"/>
          <w:color w:val="000000"/>
          <w:sz w:val="22"/>
          <w:szCs w:val="22"/>
        </w:rPr>
        <w:t xml:space="preserve"> από την εποχή της Ανεξαρτησίας. Οι γαιοκτήμονες των τσιφλικιών αυτών είχαν πετύχει μια σειρά δικαστικών αποφάσεων με τις οποίες του αναγνωρίζονταν τα δικαιώματα πλήρους ιδιοκτησίας. </w:t>
      </w:r>
    </w:p>
    <w:p w:rsidR="00780B59" w:rsidRPr="00450E40" w:rsidRDefault="00780B59" w:rsidP="00780B59">
      <w:pPr>
        <w:pStyle w:val="Aaoeeu1"/>
        <w:ind w:left="567" w:right="341"/>
        <w:jc w:val="both"/>
        <w:rPr>
          <w:rFonts w:asciiTheme="minorHAnsi" w:hAnsiTheme="minorHAnsi" w:cstheme="minorHAnsi"/>
          <w:color w:val="000000"/>
          <w:sz w:val="22"/>
          <w:szCs w:val="22"/>
        </w:rPr>
      </w:pPr>
      <w:r w:rsidRPr="00450E40">
        <w:rPr>
          <w:rFonts w:asciiTheme="minorHAnsi" w:hAnsiTheme="minorHAnsi" w:cstheme="minorHAnsi"/>
          <w:color w:val="000000"/>
          <w:sz w:val="22"/>
          <w:szCs w:val="22"/>
        </w:rPr>
        <w:t xml:space="preserve">Παρά τις σημαντικές βελτιώσεις που σημειώθηκαν στον αγροτικό τομέα στη δεκαετία αυτή, η γεωργία θα συνεχίσει </w:t>
      </w:r>
      <w:proofErr w:type="spellStart"/>
      <w:r w:rsidRPr="00450E40">
        <w:rPr>
          <w:rFonts w:asciiTheme="minorHAnsi" w:hAnsiTheme="minorHAnsi" w:cstheme="minorHAnsi"/>
          <w:color w:val="000000"/>
          <w:sz w:val="22"/>
          <w:szCs w:val="22"/>
        </w:rPr>
        <w:t>ακόμή</w:t>
      </w:r>
      <w:proofErr w:type="spellEnd"/>
      <w:r w:rsidRPr="00450E40">
        <w:rPr>
          <w:rFonts w:asciiTheme="minorHAnsi" w:hAnsiTheme="minorHAnsi" w:cstheme="minorHAnsi"/>
          <w:color w:val="000000"/>
          <w:sz w:val="22"/>
          <w:szCs w:val="22"/>
        </w:rPr>
        <w:t xml:space="preserve"> για καιρό να υποφέρει από βασικές ελλείψεις: Η αγροτική δανειοδότηση παρέμεινε υποτυπώδης. Η εισαγωγή νεωτεριστικών μεθόδων καλλιέργειας, κυρίως με τη </w:t>
      </w:r>
      <w:proofErr w:type="spellStart"/>
      <w:r w:rsidRPr="00450E40">
        <w:rPr>
          <w:rFonts w:asciiTheme="minorHAnsi" w:hAnsiTheme="minorHAnsi" w:cstheme="minorHAnsi"/>
          <w:color w:val="000000"/>
          <w:sz w:val="22"/>
          <w:szCs w:val="22"/>
        </w:rPr>
        <w:t>χρησιμοποίησηλιπασμάτων</w:t>
      </w:r>
      <w:proofErr w:type="spellEnd"/>
      <w:r w:rsidRPr="00450E40">
        <w:rPr>
          <w:rFonts w:asciiTheme="minorHAnsi" w:hAnsiTheme="minorHAnsi" w:cstheme="minorHAnsi"/>
          <w:color w:val="000000"/>
          <w:sz w:val="22"/>
          <w:szCs w:val="22"/>
        </w:rPr>
        <w:t xml:space="preserve">, δεν προχώρησε. Το ανύπαρκτο οδικό δίκτυο και η έλλειψη μεταφορικών μέσων στις περισσότερες περιφέρειες δεν επέτρεπε την εμπορία αγροτικών προϊόντων σε μεγάλη έκταση, με αποτέλεσμα ένα μεγάλο ποσοστό αγροτών να περιορίζεται σε καλλιέργειες που μόλις επαρκούν για τις βιοτικές ανάγκες των οικογενειών τους. </w:t>
      </w:r>
    </w:p>
    <w:p w:rsidR="00450E40" w:rsidRPr="00450E40" w:rsidRDefault="00780B59" w:rsidP="00780B59">
      <w:pPr>
        <w:ind w:left="2880" w:firstLine="720"/>
        <w:jc w:val="both"/>
        <w:rPr>
          <w:rFonts w:cstheme="minorHAnsi"/>
          <w:color w:val="000000"/>
        </w:rPr>
      </w:pPr>
      <w:r w:rsidRPr="00450E40">
        <w:rPr>
          <w:rFonts w:cstheme="minorHAnsi"/>
          <w:color w:val="000000"/>
        </w:rPr>
        <w:t xml:space="preserve">Ιστορία του Ελληνικού Έθνους, τόμος ΙΓ΄, </w:t>
      </w:r>
      <w:proofErr w:type="spellStart"/>
      <w:r w:rsidRPr="00450E40">
        <w:rPr>
          <w:rFonts w:cstheme="minorHAnsi"/>
          <w:color w:val="000000"/>
        </w:rPr>
        <w:t>σσ</w:t>
      </w:r>
      <w:proofErr w:type="spellEnd"/>
      <w:r w:rsidRPr="00450E40">
        <w:rPr>
          <w:rFonts w:cstheme="minorHAnsi"/>
          <w:color w:val="000000"/>
        </w:rPr>
        <w:t>. 310-311</w:t>
      </w:r>
    </w:p>
    <w:p w:rsidR="00450E40" w:rsidRDefault="00AD470F" w:rsidP="006D3293">
      <w:pPr>
        <w:spacing w:after="0"/>
      </w:pPr>
      <w:r>
        <w:tab/>
      </w:r>
      <w:r w:rsidR="00450E40">
        <w:t>Η επιτυχία των νόμων περί της διανομής (εθνικών γαιών ) περιορίστηκε στις περιοχές που εξειδικεύονταν σε εντατικές καλλιέργειες με εμπορευματικό και συχνά εξαγωγικό προσανατολισμό, όπως η κορινθιακή σταφίδα, η αμπελουργία και τα οπωροφόρα δένδρα στη βόρεια και δυτική Πελοπόννησο, η αμπελουργία και τα κηπευτικά που προορίζονταν για την αγορά της πρωτεύουσας και το βαμβάκι στη Βοιωτία.</w:t>
      </w:r>
    </w:p>
    <w:p w:rsidR="00450E40" w:rsidRDefault="00450E40" w:rsidP="006D3293">
      <w:pPr>
        <w:spacing w:after="0"/>
      </w:pPr>
      <w:r>
        <w:tab/>
        <w:t xml:space="preserve">Οι έντονα εμπορευματικοί κλάδοι της αγροτικής παραγωγής, ιδίως οι εξαγωγικοί, ήταν οι </w:t>
      </w:r>
      <w:proofErr w:type="spellStart"/>
      <w:r>
        <w:t>μόμνοι</w:t>
      </w:r>
      <w:proofErr w:type="spellEnd"/>
      <w:r>
        <w:t xml:space="preserve"> που για να αναπτυχθούν είχαν επείγουσα ανάγκη από ασφαλείς τίτλους γαιοκτησίας. Τα αμπέλια, οι οπωρώνες, τα μποστάνια και οι έγγειες βελτιώσεις που συνόδευαν τη δημιουργία τους αποτελούσαν σημαντικές επενδύσεις για τα μέτρα της εποχής. Η υποθήκευση των δικαιωμάτων ιδιοκτησίας ήταν αναγκαία προϋπόθεση για να εξευρεθούν τα απαιτούμενα κεφάλαια για την πραγματοποίηση αυτών των επενδύσεων, είτε από τις τράπεζες, είτε,</w:t>
      </w:r>
      <w:r w:rsidR="00AD470F">
        <w:t xml:space="preserve"> </w:t>
      </w:r>
      <w:r>
        <w:t>συνηθεστέρα, από δανειστές - μεσάζοντες.</w:t>
      </w:r>
    </w:p>
    <w:p w:rsidR="00450E40" w:rsidRDefault="00450E40" w:rsidP="006D3293">
      <w:pPr>
        <w:spacing w:after="0"/>
      </w:pPr>
      <w:r>
        <w:tab/>
        <w:t xml:space="preserve">Πράγματι, </w:t>
      </w:r>
      <w:proofErr w:type="spellStart"/>
      <w:r>
        <w:t>πράλληλα</w:t>
      </w:r>
      <w:proofErr w:type="spellEnd"/>
      <w:r>
        <w:t xml:space="preserve"> με τις προσπάθειες για τη μεταβίβαση των «εθνικών γαιών» σε ιδιώτες, αναπτύχθηκε σταδιακά το νομοθετικό πλαίσιο και οι οργανωτικές υποδομές για την ανάπτυξη του ενυπόθηκου δανεισμού. […] Ουσιαστικότερη πρόοδος στο δίκαιο περί υποθηκών και γενικά περί της έγγειας ιδιοκτησίας πραγματοποιήθηκε κατά το δεύτερο μισό της δεκαετίας του 1850. Την περίοδο εκείνη αναπτύχθηκε το σύστημα των μεταγραφών των πράξεων επί ακινήτων (αγορών, γονικών παροχών, δωρεών </w:t>
      </w:r>
      <w:proofErr w:type="spellStart"/>
      <w:r>
        <w:t>κ.λ.π</w:t>
      </w:r>
      <w:proofErr w:type="spellEnd"/>
      <w:r>
        <w:t>.) σε υποθηκοφυλακεία, το οποίο ισχύει με διάφορες τροποποιήσεις μέχρι σήμερα.</w:t>
      </w:r>
    </w:p>
    <w:p w:rsidR="00450E40" w:rsidRDefault="00450E40" w:rsidP="006D3293">
      <w:pPr>
        <w:spacing w:after="0"/>
      </w:pPr>
      <w:r>
        <w:tab/>
      </w:r>
      <w:r>
        <w:tab/>
      </w:r>
      <w:r>
        <w:tab/>
        <w:t xml:space="preserve">Αλέξης  </w:t>
      </w:r>
      <w:proofErr w:type="spellStart"/>
      <w:r>
        <w:t>Φραγκιάδης</w:t>
      </w:r>
      <w:proofErr w:type="spellEnd"/>
      <w:r>
        <w:t>, Ελληνική Οικονομία, σελ. 29-30</w:t>
      </w:r>
    </w:p>
    <w:p w:rsidR="006D3293" w:rsidRDefault="006D3293" w:rsidP="006D3293">
      <w:pPr>
        <w:spacing w:after="0"/>
      </w:pPr>
    </w:p>
    <w:p w:rsidR="006D3293" w:rsidRDefault="00AD470F" w:rsidP="006D3293">
      <w:pPr>
        <w:spacing w:after="0"/>
      </w:pPr>
      <w:r>
        <w:tab/>
      </w:r>
      <w:r w:rsidR="006D3293">
        <w:t>Το 1929 εν μέσω σθεναρών αντιδράσεων, η κυβέρνηση των Φιλελευθέρων ίδρυσε την Αγροτική Τράπεζα της Ελλάδος, με τη μορφή δημόσιου μη κερδοσκοπικού οργανισμού, προικοδοτώντας την με εξαιρετικά σημαντικά κεφάλαια. Η Αγροτική Τράπεζα απέσπασε σταδιακά από την Εθνική τον έλεγχο</w:t>
      </w:r>
      <w:r>
        <w:t xml:space="preserve"> των συνεταιρισμών και των γεωργικών πιστώσεων και έγινε ο κύριος μηχανισμός εφαρμογής της γεωργικής πολιτικής. Με αυτόν τον τρόπο ο ιδιωτικός τραπεζικός τομέας εκχώρησε σε ένα δημόσιο οργανισμό το τμήμα της χρηματοπιστωτικής αγοράς που είχε αποσπάσει στη διάρκεια της προηγούμενης τριακονταετίας από μεμονωμένους τοκιστές. Η κρατική παρέμβαση στην οικονομία γινόταν συνεχώς εντονότερη.</w:t>
      </w:r>
    </w:p>
    <w:p w:rsidR="008A1B66" w:rsidRDefault="008A1B66" w:rsidP="006D3293">
      <w:pPr>
        <w:spacing w:after="0"/>
      </w:pPr>
      <w:r>
        <w:tab/>
        <w:t xml:space="preserve">Η ίδρυση της Αγροτικής Τράπεζας οδήγησε σε ακόμη μεγαλύτερη διείσδυση της τραπεζικής πίστης στη γεωργία. Μεταξύ 1919 και 1931 οι συνολικές χορηγήσεις, σε σταθερές τιμές, περίπου οκταπλασιάστηκαν. Η αυξημένη χορήγηση κεφαλαίων επέτρεψε να πραγματοποιηθούν οι επενδύσεις που οδήγησαν στη σημαντική ανάκαμψη των στρεμματικών αποδόσεων από το 1933 και μετά. </w:t>
      </w:r>
    </w:p>
    <w:p w:rsidR="008A1B66" w:rsidRDefault="008A1B66" w:rsidP="006D3293">
      <w:pPr>
        <w:spacing w:after="0"/>
      </w:pPr>
      <w:r>
        <w:tab/>
      </w:r>
      <w:r>
        <w:tab/>
      </w:r>
      <w:r>
        <w:tab/>
        <w:t xml:space="preserve">Αλέξης  </w:t>
      </w:r>
      <w:proofErr w:type="spellStart"/>
      <w:r>
        <w:t>Φραγκιάδης</w:t>
      </w:r>
      <w:proofErr w:type="spellEnd"/>
      <w:r>
        <w:t>, Ελληνική Οικονομία, σελ.132-133</w:t>
      </w:r>
    </w:p>
    <w:p w:rsidR="00450E40" w:rsidRPr="00780B59" w:rsidRDefault="00450E40" w:rsidP="006D3293">
      <w:pPr>
        <w:spacing w:after="0"/>
        <w:ind w:firstLine="720"/>
        <w:jc w:val="both"/>
        <w:rPr>
          <w:rFonts w:cstheme="minorHAnsi"/>
          <w:sz w:val="24"/>
          <w:szCs w:val="24"/>
        </w:rPr>
      </w:pPr>
    </w:p>
    <w:sectPr w:rsidR="00450E40" w:rsidRPr="00780B59" w:rsidSect="006D3293">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426EB"/>
    <w:multiLevelType w:val="hybridMultilevel"/>
    <w:tmpl w:val="698E0DB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DE182D"/>
    <w:rsid w:val="00437519"/>
    <w:rsid w:val="00450E40"/>
    <w:rsid w:val="004D0860"/>
    <w:rsid w:val="0055781E"/>
    <w:rsid w:val="006A0D6E"/>
    <w:rsid w:val="006D3293"/>
    <w:rsid w:val="00780B59"/>
    <w:rsid w:val="008A1B66"/>
    <w:rsid w:val="00AD470F"/>
    <w:rsid w:val="00DE182D"/>
    <w:rsid w:val="00F52CC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8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aoeeu1">
    <w:name w:val="Aaoeeu1"/>
    <w:basedOn w:val="a"/>
    <w:next w:val="a"/>
    <w:uiPriority w:val="99"/>
    <w:rsid w:val="00DE182D"/>
    <w:pPr>
      <w:autoSpaceDE w:val="0"/>
      <w:autoSpaceDN w:val="0"/>
      <w:adjustRightInd w:val="0"/>
      <w:spacing w:after="0" w:line="240" w:lineRule="auto"/>
    </w:pPr>
    <w:rPr>
      <w:rFonts w:ascii="Arial" w:hAnsi="Arial" w:cs="Arial"/>
      <w:sz w:val="24"/>
      <w:szCs w:val="24"/>
    </w:rPr>
  </w:style>
  <w:style w:type="paragraph" w:customStyle="1" w:styleId="Default">
    <w:name w:val="Default"/>
    <w:rsid w:val="00DE182D"/>
    <w:pPr>
      <w:autoSpaceDE w:val="0"/>
      <w:autoSpaceDN w:val="0"/>
      <w:adjustRightInd w:val="0"/>
      <w:spacing w:after="0" w:line="240" w:lineRule="auto"/>
    </w:pPr>
    <w:rPr>
      <w:rFonts w:ascii="Arial" w:hAnsi="Arial" w:cs="Arial"/>
      <w:color w:val="000000"/>
      <w:sz w:val="24"/>
      <w:szCs w:val="24"/>
    </w:rPr>
  </w:style>
  <w:style w:type="paragraph" w:styleId="a3">
    <w:name w:val="Balloon Text"/>
    <w:basedOn w:val="a"/>
    <w:link w:val="Char"/>
    <w:uiPriority w:val="99"/>
    <w:semiHidden/>
    <w:unhideWhenUsed/>
    <w:rsid w:val="00780B5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80B59"/>
    <w:rPr>
      <w:rFonts w:ascii="Tahoma" w:hAnsi="Tahoma" w:cs="Tahoma"/>
      <w:sz w:val="16"/>
      <w:szCs w:val="16"/>
    </w:rPr>
  </w:style>
  <w:style w:type="paragraph" w:styleId="a4">
    <w:name w:val="List Paragraph"/>
    <w:basedOn w:val="a"/>
    <w:uiPriority w:val="34"/>
    <w:qFormat/>
    <w:rsid w:val="006D329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1294</Words>
  <Characters>6988</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2012-09-13T16:55:00Z</cp:lastPrinted>
  <dcterms:created xsi:type="dcterms:W3CDTF">2011-09-19T14:52:00Z</dcterms:created>
  <dcterms:modified xsi:type="dcterms:W3CDTF">2012-09-13T17:24:00Z</dcterms:modified>
</cp:coreProperties>
</file>