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DC" w:rsidRDefault="005C5BC8" w:rsidP="005C5BC8">
      <w:pPr>
        <w:jc w:val="both"/>
      </w:pPr>
      <w:r>
        <w:t xml:space="preserve">ΠΗΓΗ </w:t>
      </w:r>
      <w:r w:rsidR="00ED1F8E">
        <w:t xml:space="preserve">106 </w:t>
      </w:r>
      <w:r>
        <w:t xml:space="preserve">ΠΡΟΣΦΥΓΕΣ ΒΙΟΜΗΧΑΝΙΑ </w:t>
      </w:r>
      <w:r w:rsidR="00ED1F8E">
        <w:t>- ΕΜΠΟΡΙΟ</w:t>
      </w:r>
      <w:r>
        <w:t xml:space="preserve"> </w:t>
      </w:r>
    </w:p>
    <w:p w:rsidR="005C5BC8" w:rsidRDefault="005C5BC8" w:rsidP="005C5BC8">
      <w:pPr>
        <w:jc w:val="both"/>
      </w:pPr>
    </w:p>
    <w:p w:rsidR="005C5BC8" w:rsidRDefault="005C5BC8" w:rsidP="005C5BC8">
      <w:pPr>
        <w:jc w:val="both"/>
      </w:pPr>
      <w:r w:rsidRPr="005C5BC8">
        <w:t>Αντλώντας στοιχεία και πληροφορίες από τον πίνακα και το κείμενο που ακολουθούν και αξιοποιώντας τις ιστορικές σας γνώσεις, να αναφερθείτε στην ανάπτυξη της βιομηχανίας/βιοτεχνίας</w:t>
      </w:r>
      <w:r w:rsidR="00A5617B">
        <w:t xml:space="preserve"> και του εμπορίου </w:t>
      </w:r>
      <w:bookmarkStart w:id="0" w:name="_GoBack"/>
      <w:bookmarkEnd w:id="0"/>
      <w:r w:rsidRPr="005C5BC8">
        <w:t xml:space="preserve"> στην Ελλάδα μετά από τη Μικρασιατική Καταστροφή. </w:t>
      </w:r>
    </w:p>
    <w:p w:rsidR="005C5BC8" w:rsidRDefault="005C5BC8" w:rsidP="005C5BC8"/>
    <w:p w:rsidR="005C5BC8" w:rsidRPr="005C5BC8" w:rsidRDefault="00D10C82" w:rsidP="005C5BC8">
      <w:pPr>
        <w:jc w:val="both"/>
      </w:pPr>
      <w:r>
        <w:t>ΠΙΝΑΚΑΣ</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1551"/>
        <w:gridCol w:w="1975"/>
        <w:gridCol w:w="1692"/>
        <w:gridCol w:w="1974"/>
        <w:gridCol w:w="2612"/>
      </w:tblGrid>
      <w:tr w:rsidR="005C5BC8" w:rsidRPr="005C5BC8" w:rsidTr="00D10C82">
        <w:trPr>
          <w:trHeight w:val="246"/>
        </w:trPr>
        <w:tc>
          <w:tcPr>
            <w:tcW w:w="9804" w:type="dxa"/>
            <w:gridSpan w:val="5"/>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rPr>
                <w:b/>
                <w:bCs/>
              </w:rPr>
              <w:t>Η ανάπτυξη της βιομηχανίας</w:t>
            </w:r>
          </w:p>
        </w:tc>
      </w:tr>
      <w:tr w:rsidR="005C5BC8" w:rsidRPr="005C5BC8" w:rsidTr="00D10C82">
        <w:trPr>
          <w:trHeight w:val="656"/>
        </w:trPr>
        <w:tc>
          <w:tcPr>
            <w:tcW w:w="1551"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rPr>
                <w:b/>
                <w:bCs/>
              </w:rPr>
              <w:t>Έτη</w:t>
            </w:r>
          </w:p>
        </w:tc>
        <w:tc>
          <w:tcPr>
            <w:tcW w:w="1975"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rPr>
                <w:b/>
                <w:bCs/>
              </w:rPr>
              <w:t>Εργοστάσια</w:t>
            </w:r>
          </w:p>
        </w:tc>
        <w:tc>
          <w:tcPr>
            <w:tcW w:w="1692"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rPr>
                <w:b/>
                <w:bCs/>
              </w:rPr>
              <w:t>Εργάτες</w:t>
            </w:r>
          </w:p>
        </w:tc>
        <w:tc>
          <w:tcPr>
            <w:tcW w:w="1974"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rPr>
                <w:b/>
                <w:bCs/>
              </w:rPr>
              <w:t>Ισχύς</w:t>
            </w:r>
          </w:p>
          <w:p w:rsidR="005C5BC8" w:rsidRPr="005C5BC8" w:rsidRDefault="005C5BC8" w:rsidP="00D10C82">
            <w:pPr>
              <w:jc w:val="center"/>
            </w:pPr>
            <w:r w:rsidRPr="005C5BC8">
              <w:rPr>
                <w:b/>
                <w:bCs/>
              </w:rPr>
              <w:t>σε ίππους</w:t>
            </w:r>
          </w:p>
        </w:tc>
        <w:tc>
          <w:tcPr>
            <w:tcW w:w="2612" w:type="dxa"/>
            <w:tcBorders>
              <w:top w:val="single" w:sz="8" w:space="0" w:color="000000"/>
              <w:left w:val="single" w:sz="8" w:space="0" w:color="000000"/>
              <w:bottom w:val="single" w:sz="8" w:space="0" w:color="000000"/>
              <w:right w:val="single" w:sz="8" w:space="0" w:color="000000"/>
            </w:tcBorders>
          </w:tcPr>
          <w:p w:rsidR="005C5BC8" w:rsidRPr="005C5BC8" w:rsidRDefault="00D10C82" w:rsidP="00D10C82">
            <w:pPr>
              <w:jc w:val="center"/>
            </w:pPr>
            <w:r>
              <w:rPr>
                <w:b/>
                <w:bCs/>
              </w:rPr>
              <w:t xml:space="preserve">Αξία της </w:t>
            </w:r>
            <w:r w:rsidR="005C5BC8" w:rsidRPr="005C5BC8">
              <w:rPr>
                <w:b/>
                <w:bCs/>
              </w:rPr>
              <w:t>παραγωγής</w:t>
            </w:r>
            <w:r>
              <w:t xml:space="preserve"> </w:t>
            </w:r>
            <w:r w:rsidR="005C5BC8" w:rsidRPr="005C5BC8">
              <w:rPr>
                <w:b/>
                <w:bCs/>
              </w:rPr>
              <w:t>σε δρχ.</w:t>
            </w:r>
          </w:p>
        </w:tc>
      </w:tr>
      <w:tr w:rsidR="005C5BC8" w:rsidRPr="005C5BC8" w:rsidTr="00D10C82">
        <w:trPr>
          <w:trHeight w:val="247"/>
        </w:trPr>
        <w:tc>
          <w:tcPr>
            <w:tcW w:w="1551"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1917</w:t>
            </w:r>
          </w:p>
        </w:tc>
        <w:tc>
          <w:tcPr>
            <w:tcW w:w="1975"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2.213</w:t>
            </w:r>
          </w:p>
        </w:tc>
        <w:tc>
          <w:tcPr>
            <w:tcW w:w="1692"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35.000</w:t>
            </w:r>
          </w:p>
        </w:tc>
        <w:tc>
          <w:tcPr>
            <w:tcW w:w="1974"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70.000</w:t>
            </w:r>
          </w:p>
        </w:tc>
        <w:tc>
          <w:tcPr>
            <w:tcW w:w="2612"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200 εκατ.</w:t>
            </w:r>
          </w:p>
        </w:tc>
      </w:tr>
      <w:tr w:rsidR="005C5BC8" w:rsidRPr="005C5BC8" w:rsidTr="00D10C82">
        <w:trPr>
          <w:trHeight w:val="247"/>
        </w:trPr>
        <w:tc>
          <w:tcPr>
            <w:tcW w:w="1551"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1920</w:t>
            </w:r>
          </w:p>
        </w:tc>
        <w:tc>
          <w:tcPr>
            <w:tcW w:w="1975"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2.905</w:t>
            </w:r>
          </w:p>
        </w:tc>
        <w:tc>
          <w:tcPr>
            <w:tcW w:w="1692"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60.000</w:t>
            </w:r>
          </w:p>
        </w:tc>
        <w:tc>
          <w:tcPr>
            <w:tcW w:w="1974"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110.000</w:t>
            </w:r>
          </w:p>
        </w:tc>
        <w:tc>
          <w:tcPr>
            <w:tcW w:w="2612"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w:t>
            </w:r>
          </w:p>
        </w:tc>
      </w:tr>
      <w:tr w:rsidR="005C5BC8" w:rsidRPr="005C5BC8" w:rsidTr="00D10C82">
        <w:trPr>
          <w:trHeight w:val="247"/>
        </w:trPr>
        <w:tc>
          <w:tcPr>
            <w:tcW w:w="1551"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1929-1930</w:t>
            </w:r>
          </w:p>
        </w:tc>
        <w:tc>
          <w:tcPr>
            <w:tcW w:w="1975"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4.000</w:t>
            </w:r>
          </w:p>
        </w:tc>
        <w:tc>
          <w:tcPr>
            <w:tcW w:w="1692"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110.000</w:t>
            </w:r>
          </w:p>
        </w:tc>
        <w:tc>
          <w:tcPr>
            <w:tcW w:w="1974"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230.000</w:t>
            </w:r>
          </w:p>
        </w:tc>
        <w:tc>
          <w:tcPr>
            <w:tcW w:w="2612"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7.210 εκατ.</w:t>
            </w:r>
          </w:p>
        </w:tc>
      </w:tr>
      <w:tr w:rsidR="005C5BC8" w:rsidRPr="005C5BC8" w:rsidTr="00D10C82">
        <w:trPr>
          <w:trHeight w:val="247"/>
        </w:trPr>
        <w:tc>
          <w:tcPr>
            <w:tcW w:w="1551"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1938</w:t>
            </w:r>
          </w:p>
        </w:tc>
        <w:tc>
          <w:tcPr>
            <w:tcW w:w="1975"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4.515</w:t>
            </w:r>
          </w:p>
        </w:tc>
        <w:tc>
          <w:tcPr>
            <w:tcW w:w="1692"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140.000</w:t>
            </w:r>
          </w:p>
        </w:tc>
        <w:tc>
          <w:tcPr>
            <w:tcW w:w="1974"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277.000</w:t>
            </w:r>
          </w:p>
        </w:tc>
        <w:tc>
          <w:tcPr>
            <w:tcW w:w="2612" w:type="dxa"/>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13.565 εκατ.</w:t>
            </w:r>
          </w:p>
        </w:tc>
      </w:tr>
      <w:tr w:rsidR="005C5BC8" w:rsidRPr="005C5BC8" w:rsidTr="00D10C82">
        <w:trPr>
          <w:trHeight w:val="249"/>
        </w:trPr>
        <w:tc>
          <w:tcPr>
            <w:tcW w:w="9804" w:type="dxa"/>
            <w:gridSpan w:val="5"/>
            <w:tcBorders>
              <w:top w:val="single" w:sz="8" w:space="0" w:color="000000"/>
              <w:left w:val="single" w:sz="8" w:space="0" w:color="000000"/>
              <w:bottom w:val="single" w:sz="8" w:space="0" w:color="000000"/>
              <w:right w:val="single" w:sz="8" w:space="0" w:color="000000"/>
            </w:tcBorders>
          </w:tcPr>
          <w:p w:rsidR="005C5BC8" w:rsidRPr="005C5BC8" w:rsidRDefault="005C5BC8" w:rsidP="00D10C82">
            <w:pPr>
              <w:jc w:val="center"/>
            </w:pPr>
            <w:r w:rsidRPr="005C5BC8">
              <w:t xml:space="preserve">Ν. </w:t>
            </w:r>
            <w:proofErr w:type="spellStart"/>
            <w:r w:rsidRPr="005C5BC8">
              <w:t>Σβορώνου</w:t>
            </w:r>
            <w:proofErr w:type="spellEnd"/>
            <w:r w:rsidRPr="005C5BC8">
              <w:t xml:space="preserve">, </w:t>
            </w:r>
            <w:r w:rsidRPr="005C5BC8">
              <w:rPr>
                <w:i/>
                <w:iCs/>
              </w:rPr>
              <w:t xml:space="preserve">Επισκόπηση της Νεοελληνικής Ιστορίας, </w:t>
            </w:r>
            <w:r w:rsidRPr="005C5BC8">
              <w:t>Αθήνα 1976, σ. 130.</w:t>
            </w:r>
          </w:p>
        </w:tc>
      </w:tr>
    </w:tbl>
    <w:p w:rsidR="005C5BC8" w:rsidRPr="005C5BC8" w:rsidRDefault="005C5BC8" w:rsidP="005C5BC8">
      <w:pPr>
        <w:jc w:val="both"/>
      </w:pPr>
    </w:p>
    <w:p w:rsidR="005C5BC8" w:rsidRDefault="005C5BC8" w:rsidP="005C5BC8">
      <w:pPr>
        <w:jc w:val="both"/>
      </w:pPr>
    </w:p>
    <w:p w:rsidR="00D10C82" w:rsidRDefault="00D10C82" w:rsidP="005C5BC8">
      <w:pPr>
        <w:jc w:val="both"/>
      </w:pPr>
      <w:r>
        <w:t>ΚΕΙΜΕΝΟ</w:t>
      </w:r>
      <w:r w:rsidR="007F620C">
        <w:t xml:space="preserve"> Α</w:t>
      </w:r>
    </w:p>
    <w:p w:rsidR="00715F11" w:rsidRDefault="005C5BC8" w:rsidP="005C5BC8">
      <w:pPr>
        <w:jc w:val="both"/>
      </w:pPr>
      <w:r>
        <w:tab/>
        <w:t>Κατά τη δεκαετία 1920 διπλασιάστηκε ο αριθμός των βιομηχανικών μονάδων, κυρίως όμως των μικρών και προσανατολισμένων στην παραγωγή καταναλωτικών αγαθών για την εσωτερική αγορά. Μεγάλη ανάπτυξη σημείωσαν οι τομείς της κλωστοϋφαντουργίας βαμβακερών και πλεκτών, της επεξεργασίας αγροτικών προϊόντων και της παραγωγής οικοδομικών υλικών. Η εγκατάσταση των προσφύγων οδήγησε, επίσης, στη δημιουργία μικρών βιοτεχνικών μονάδων και στη σημαντική ανάπτυξη της οικοτεχνίας.</w:t>
      </w:r>
      <w:r w:rsidR="00D10C82">
        <w:t xml:space="preserve"> </w:t>
      </w:r>
      <w:proofErr w:type="spellStart"/>
      <w:r w:rsidR="00D10C82">
        <w:t>Επέδρασε</w:t>
      </w:r>
      <w:proofErr w:type="spellEnd"/>
      <w:r w:rsidR="00D10C82">
        <w:t xml:space="preserve"> αποφασιστικά στην ένταξη των γυναικών στον ενεργό πληθυσμό , σε πολλές περιπτώσεις όχι ως συμπληρωματικά απασχολούμενων μελών του νοικοκυριού αλλά ως «αρχηγών» οικογενειών, αφού στον προσφυγικό πληθυσμό υπήρχε σημαντικός αριθμός γυναικών που ήταν χήρες ή ορφανές. </w:t>
      </w:r>
    </w:p>
    <w:p w:rsidR="005C5BC8" w:rsidRDefault="00715F11" w:rsidP="005C5BC8">
      <w:pPr>
        <w:jc w:val="both"/>
      </w:pPr>
      <w:r>
        <w:tab/>
      </w:r>
      <w:r w:rsidR="00D10C82">
        <w:t>Σημαντική υπήρξε επίσης η εμπορική δραστηριότητα προσφύγων, οι οποίοι είχαν την εμπειρία της αντίστοιχης ενασχόλησης στα μεγάλα αστικά κέντρα της Οθωμανικής Αυτοκρατορίας, είτε με τη μεταφορά των δραστηριοτήτων τους στα ελληνικά αστικά κέντρα είτε με την ίδρυση νέων εμπορικών οίκων.</w:t>
      </w:r>
      <w:r w:rsidR="00ED1F8E">
        <w:t xml:space="preserve"> […] </w:t>
      </w:r>
    </w:p>
    <w:p w:rsidR="00715F11" w:rsidRDefault="00ED1F8E" w:rsidP="005C5BC8">
      <w:pPr>
        <w:jc w:val="both"/>
      </w:pPr>
      <w:r>
        <w:tab/>
        <w:t xml:space="preserve"> </w:t>
      </w:r>
      <w:r w:rsidR="00715F11">
        <w:t xml:space="preserve">Η οικονομική ευμάρεια, το εκτεταμένο δίκτυο σχολείων, ο κοσμοπολίτικος χαρακτήρας και το υψηλό μορφωτικό επίπεδο πολλών ελληνικών αστικών κοινοτήτων στην Οθωμανική Αυτοκρατορία είχαν διαμορφώσει μια αξιόλογη πνευματική ατμόσφαιρα και πολλοί αστοί πρόσφυγες ήταν φορείς φιλελεύθερων αντιλήψεων και σύγχρονων δυτικών προτύπων. </w:t>
      </w:r>
      <w:r>
        <w:t xml:space="preserve">Οι πρόσφυγες </w:t>
      </w:r>
      <w:r w:rsidR="00715F11">
        <w:t xml:space="preserve">[επίσης] </w:t>
      </w:r>
      <w:r>
        <w:t>ανέπτυξαν ιδιαίτερους τρόπους συλλογικότητας, ισχυρούς μηχανισμούς αλληλεγγύης και αλληλοβοήθειας, εξωστρεφείς πρακτικές, νέες συνήθειες στην καθημερινή ζωή</w:t>
      </w:r>
      <w:r w:rsidR="00715F11">
        <w:t>.</w:t>
      </w:r>
    </w:p>
    <w:p w:rsidR="00ED1F8E" w:rsidRDefault="00715F11" w:rsidP="005C5BC8">
      <w:pPr>
        <w:jc w:val="both"/>
      </w:pPr>
      <w:r>
        <w:tab/>
      </w:r>
      <w:r>
        <w:tab/>
      </w:r>
      <w:r w:rsidR="00E921E6">
        <w:tab/>
        <w:t>Νίκος Ανδριώτης, Πρόσφυγες στην Ελλάδα, 1821-1940 σελ. 320-321</w:t>
      </w:r>
      <w:r w:rsidR="00ED1F8E">
        <w:t xml:space="preserve"> </w:t>
      </w:r>
    </w:p>
    <w:p w:rsidR="007F620C" w:rsidRDefault="007F620C" w:rsidP="005C5BC8">
      <w:pPr>
        <w:jc w:val="both"/>
      </w:pPr>
    </w:p>
    <w:p w:rsidR="007F620C" w:rsidRDefault="007F620C" w:rsidP="005C5BC8">
      <w:pPr>
        <w:jc w:val="both"/>
      </w:pPr>
      <w:r>
        <w:t>ΚΕΙΜΕΝΟ Β</w:t>
      </w:r>
    </w:p>
    <w:p w:rsidR="007F620C" w:rsidRPr="007F620C" w:rsidRDefault="007F620C" w:rsidP="007F620C">
      <w:pPr>
        <w:jc w:val="both"/>
      </w:pPr>
      <w:r>
        <w:tab/>
      </w:r>
      <w:r w:rsidRPr="007F620C">
        <w:t>Η πορεία της ταπητουργίας στην Ελλάδα ήταν εντυπωσιακή αλλά σύντομη και ξεπηδάει ανάγλυφη από τη μελέτη των γνωστών μας ταπητουργικών επιχειρήσεων. Το 1929, η διεθνής οικονομική κρίση που επηρέασε ιδιαίτερα την αμερικανική αγορά, η οποία απορροφούσε το 90% της παραγωγής, καθώς και ο συναγωνισμός από τα φτηνότερα περσικά και τούρκικα χαλιά της έδωσαν καίριο χτύπημα. Η βιομηχανική ζώνη της Ελευθερούπολης επιβίωσε με καθολική στροφή στη βαμβακουργία.</w:t>
      </w:r>
    </w:p>
    <w:p w:rsidR="007F620C" w:rsidRPr="007F620C" w:rsidRDefault="007F620C" w:rsidP="007F620C">
      <w:pPr>
        <w:jc w:val="both"/>
      </w:pPr>
      <w:r w:rsidRPr="007F620C">
        <w:tab/>
        <w:t xml:space="preserve">Όμως η αναδίφηση στη βιομηχανική κληρονομιά της Νέας Ιωνίας μας επιφύλασσε μια έκπληξη. Στο χώρο των Ποδαράδων αποδείχθηκε ότι υπήρξε μια πρόδρομη των προσφύγων βιομηχανική εγκατάσταση. Στο συνοικισμό του Περισσού, όπου τα σωζόμενα βιομηχανικά κελύφη εντυπωσιάζουν ακόμη και σήμερα, ο γνωστός βιομήχανος Νικόλαος </w:t>
      </w:r>
      <w:proofErr w:type="spellStart"/>
      <w:r w:rsidRPr="007F620C">
        <w:t>Κυρκίνης</w:t>
      </w:r>
      <w:proofErr w:type="spellEnd"/>
      <w:r w:rsidRPr="007F620C">
        <w:t>, ιδρυτής της «Ελληνικής Εριουργίας» των Πατησίων, είχε ήδη από το 1918 αγοράσει έκταση 124 στρεμμάτων και χρησιμοποιούσε τον ευρισκόμενο μέσα στο κτήμα υδρόμυλο για πλυντήριο της εριουργίας. Ο χώρος ήταν προνομιούχος, διέθετε άφθονο νερό από το παρακείμενο ρέμα του Περισσού (</w:t>
      </w:r>
      <w:proofErr w:type="spellStart"/>
      <w:r w:rsidRPr="007F620C">
        <w:t>Ποδονίφτη</w:t>
      </w:r>
      <w:proofErr w:type="spellEnd"/>
      <w:r w:rsidRPr="007F620C">
        <w:t>) και συγκοινωνιακή σύνδεση με το κέντρο μέσω της σιδηροδρομικής γραμμής Αθηνών - Κηφισιάς και της οδού προς το «</w:t>
      </w:r>
      <w:proofErr w:type="spellStart"/>
      <w:r w:rsidRPr="007F620C">
        <w:t>χωρίον</w:t>
      </w:r>
      <w:proofErr w:type="spellEnd"/>
      <w:r w:rsidRPr="007F620C">
        <w:t xml:space="preserve"> Ηράκλειον».</w:t>
      </w:r>
    </w:p>
    <w:p w:rsidR="007F620C" w:rsidRPr="007F620C" w:rsidRDefault="007F620C" w:rsidP="007F620C">
      <w:pPr>
        <w:jc w:val="both"/>
      </w:pPr>
      <w:r>
        <w:tab/>
      </w:r>
      <w:r>
        <w:tab/>
      </w:r>
      <w:r>
        <w:tab/>
      </w:r>
      <w:r>
        <w:tab/>
      </w:r>
      <w:r>
        <w:tab/>
      </w:r>
      <w:r>
        <w:tab/>
      </w:r>
      <w:r w:rsidRPr="007F620C">
        <w:t xml:space="preserve">Όλγα </w:t>
      </w:r>
      <w:proofErr w:type="spellStart"/>
      <w:r w:rsidRPr="007F620C">
        <w:t>Βογιατζόγλου</w:t>
      </w:r>
      <w:proofErr w:type="spellEnd"/>
      <w:r w:rsidRPr="007F620C">
        <w:t>, «Η βιομηχανική εγκατάσταση στη Νέα Ιωνία»</w:t>
      </w:r>
    </w:p>
    <w:p w:rsidR="007F620C" w:rsidRDefault="007F620C" w:rsidP="005C5BC8">
      <w:pPr>
        <w:jc w:val="both"/>
      </w:pPr>
    </w:p>
    <w:sectPr w:rsidR="007F620C" w:rsidSect="005C5B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C8"/>
    <w:rsid w:val="000442DC"/>
    <w:rsid w:val="005C5BC8"/>
    <w:rsid w:val="00715F11"/>
    <w:rsid w:val="007F620C"/>
    <w:rsid w:val="00A5617B"/>
    <w:rsid w:val="00D10C82"/>
    <w:rsid w:val="00E921E6"/>
    <w:rsid w:val="00ED1F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C2888-40B0-408C-B02B-71F0B917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547</Words>
  <Characters>2959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2021-03-17T16:38:00Z</dcterms:created>
  <dcterms:modified xsi:type="dcterms:W3CDTF">2021-03-17T17:19:00Z</dcterms:modified>
</cp:coreProperties>
</file>