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2DC" w:rsidRDefault="004042DA">
      <w:r>
        <w:t xml:space="preserve">ΠΗΓΗ ΠΡΟΣΦΥΓΕΣ ΕΝΣΩΜΑΤΩΣΗ </w:t>
      </w:r>
    </w:p>
    <w:p w:rsidR="004042DA" w:rsidRDefault="004042DA"/>
    <w:p w:rsidR="004042DA" w:rsidRDefault="004042DA" w:rsidP="004042DA">
      <w:pPr>
        <w:jc w:val="both"/>
      </w:pPr>
      <w:r w:rsidRPr="004042DA">
        <w:t xml:space="preserve">Λαμβάνοντας υπόψη σας τα παρακάτω παραθέματα και με τις ιστορικές γνώσεις του βιβλίου σας, να </w:t>
      </w:r>
      <w:r w:rsidR="00E81919">
        <w:t xml:space="preserve">αναφερθείτε στα </w:t>
      </w:r>
      <w:bookmarkStart w:id="0" w:name="_GoBack"/>
      <w:bookmarkEnd w:id="0"/>
      <w:r>
        <w:t xml:space="preserve"> παράπονα των προσφύγων προς τους γηγενείς και το ελληνικό κράτος κατά την περίοδο ενσωμάτωσής τους.</w:t>
      </w:r>
    </w:p>
    <w:p w:rsidR="004042DA" w:rsidRDefault="004042DA" w:rsidP="004042DA">
      <w:pPr>
        <w:jc w:val="both"/>
      </w:pPr>
    </w:p>
    <w:p w:rsidR="004042DA" w:rsidRDefault="0058746E" w:rsidP="004042DA">
      <w:pPr>
        <w:jc w:val="both"/>
      </w:pPr>
      <w:r>
        <w:t xml:space="preserve">ΚΕΙΜΕΝΟ Α </w:t>
      </w:r>
    </w:p>
    <w:p w:rsidR="0058746E" w:rsidRDefault="0058746E" w:rsidP="004042DA">
      <w:pPr>
        <w:jc w:val="both"/>
      </w:pPr>
      <w:r>
        <w:tab/>
        <w:t>Η διαμαρτυρία (για την ανταλλάξιμη περιουσία) αφορούσε το γεγονός ότι αποκαταστάθηκαν, αγροτικά, ακτήμονες γηγενείς, ενώ οι κυβερνήσεις του Μεσοπολέμου επιχείρησαν να αποκαταστήσουν επίσης πολεμοπαθείς της ανατολικής Μακεδονίας και της δυτικής Θράκης πυροπαθείς ή σεισμοπαθείς</w:t>
      </w:r>
      <w:r w:rsidR="00A51E1A">
        <w:t xml:space="preserve">, ή «μη ανταλλάξιμους», προερχόμενους από την Κωνσταντινούπολη, την Τένεδο και την Ίμβρο ή την Αλβανία. Κατηγορίες γηγενών, όπως δημόσιοι υπάλληλοι και αξιωματικοί, ανάπηροι πολέμου, έφεδροι εξασφάλισαν επίσης στέγη στις πόλεις με ευνοϊκούς όρους, ή έτυχαν ανάλογων με </w:t>
      </w:r>
      <w:r w:rsidR="00C92740">
        <w:t>τους πρόσφυγες ευεργετημάτων.</w:t>
      </w:r>
    </w:p>
    <w:p w:rsidR="00C92740" w:rsidRDefault="00C92740" w:rsidP="004042DA">
      <w:pPr>
        <w:jc w:val="both"/>
      </w:pPr>
    </w:p>
    <w:p w:rsidR="00C92740" w:rsidRDefault="00C92740" w:rsidP="004042DA">
      <w:pPr>
        <w:jc w:val="both"/>
      </w:pPr>
      <w:r>
        <w:t>ΚΕΙΜΕΝΟ Β</w:t>
      </w:r>
    </w:p>
    <w:p w:rsidR="00C92740" w:rsidRDefault="00C92740" w:rsidP="004042DA">
      <w:pPr>
        <w:jc w:val="both"/>
      </w:pPr>
      <w:r>
        <w:tab/>
        <w:t xml:space="preserve">Οι πρόσφυγες ερχόμενοι στην Ελλάδα έπρεπε να προσαρμοστούν σε μια κοινωνία οργανωμένη διαφορετικά από εκείνη που γνώριζαν στις πατρίδες τους. Οι κοινωνίες της Οθωμανικής Αυτοκρατορίας ήταν δομημένες πολιτισμικά με βάση τη θρησκεία και την εθνότητα, ενώ η ελληνική βασιζόταν στην κοινωνική δομή ενός έθνους </w:t>
      </w:r>
      <w:r w:rsidR="002D0D8C">
        <w:t>-</w:t>
      </w:r>
      <w:r>
        <w:t>κράτους.</w:t>
      </w:r>
      <w:r w:rsidR="002D0D8C">
        <w:t xml:space="preserve"> Όσα τους διέκριναν στο πλαίσιο των πολυεθνικών-πολυπολιτισμικών κοινωνιών της Οθωμανικής Αυτοκρατορίας (θρησκεία, εθνότητα και γλώσσα)</w:t>
      </w:r>
      <w:r w:rsidR="009563D2">
        <w:t>, δεν αποτελούσαν  πλέον στοιχεία διάκρισης. Αντίθετα, όσα</w:t>
      </w:r>
      <w:r w:rsidR="003C06AC">
        <w:t xml:space="preserve"> μοιράζονταν με τους αλλοεθνείς και αλλόθρησκους γείτονές τους στις πόλεις και τα χωριά της Μικράς Ασίας (ένδυση, κουζίνα, μουσική), τους διαφοροποιούσαν από τους ομοεθνείς τους γηγενείς, με τους </w:t>
      </w:r>
      <w:r w:rsidR="00EE60F5">
        <w:t>οποίους καλούνταν να συνυ</w:t>
      </w:r>
      <w:r w:rsidR="003C06AC">
        <w:t>πά</w:t>
      </w:r>
      <w:r w:rsidR="00EE60F5">
        <w:t>ρ</w:t>
      </w:r>
      <w:r w:rsidR="003C06AC">
        <w:t>ξουν στο εξής.</w:t>
      </w:r>
    </w:p>
    <w:p w:rsidR="004042DA" w:rsidRDefault="004042DA" w:rsidP="004042DA">
      <w:pPr>
        <w:jc w:val="both"/>
      </w:pPr>
    </w:p>
    <w:p w:rsidR="004042DA" w:rsidRDefault="002D0D8C" w:rsidP="004042DA">
      <w:pPr>
        <w:jc w:val="both"/>
      </w:pPr>
      <w:r>
        <w:t xml:space="preserve"> </w:t>
      </w:r>
      <w:r w:rsidR="00EE60F5">
        <w:t>ΚΕΙΜΕΝΟ Γ</w:t>
      </w:r>
    </w:p>
    <w:p w:rsidR="00EE60F5" w:rsidRDefault="00EE60F5" w:rsidP="004042DA">
      <w:pPr>
        <w:jc w:val="both"/>
      </w:pPr>
      <w:r>
        <w:tab/>
        <w:t>Από τη μία, οι κοινότητες υποδοχής έσπευσαν να συνδράμουν με διάφορους τρόπους τους πρόσφυγες: φιλανθρωπικές οργανώσεις, σύλλογοι κυριών, συντεχνίες, η εκκλησία, ακόμη και μουσουλμανικές κοινότητες των πόλεων –όσο ακόμα αυτές υπήρχαν, ανέλαβαν ένα μέρος της μέριμνας για την αντιμετώπιση των στοιχειωδών αναγκών τους […] Από την άλλη, η παρουσία τους ενεργοποίησε αντανακλαστικά αμυντικά, ανταγωνιστικά, φοβικά. Η εμφάνιση επιδημικών ασθενειών θεωρήθηκε απειλή για τη δημόσια υγεία, η μικρή εγκληματικότητα (κυρίως κλοπές) θορύβησε, όπως τεκμαίρεται από τον Τύπο της εποχής, τους κατοίκους των πόλεων</w:t>
      </w:r>
      <w:r w:rsidR="00C84C93">
        <w:t>. Οι οικονομικές επιβαρύνσεις, κυρίως μέσω των επιτάξεων και της επιβολής νέων φόρων</w:t>
      </w:r>
      <w:r w:rsidR="002F4B5D">
        <w:t>, δημιούργησαν πρόσθετη δυσαρέσκεια.  Η παρουσία ενός μεγάλου αριθμού γυναικών, οι οποίες ήταν μόνες και ως εκ τούτου απροστάτευτες, θεωρήθηκε «επικίνδυνη» για τα δημόσια ήθη, όχι μόνον από τον Τύπο, αλλά και από το επίσημο κράτος.</w:t>
      </w:r>
    </w:p>
    <w:p w:rsidR="002F4B5D" w:rsidRDefault="002F4B5D" w:rsidP="004042DA">
      <w:pPr>
        <w:jc w:val="both"/>
      </w:pPr>
    </w:p>
    <w:p w:rsidR="002F4B5D" w:rsidRDefault="002F4B5D" w:rsidP="004042DA">
      <w:pPr>
        <w:jc w:val="both"/>
      </w:pPr>
      <w:r>
        <w:t>ΚΕΙΜΕΝΟ Δ</w:t>
      </w:r>
    </w:p>
    <w:p w:rsidR="002F4B5D" w:rsidRDefault="00244B36" w:rsidP="004042DA">
      <w:pPr>
        <w:jc w:val="both"/>
      </w:pPr>
      <w:r>
        <w:tab/>
        <w:t xml:space="preserve">Επιπρόσθετα, η Καταστροφή, η απώλεια του γενέθλιου τόπου, προσφιλών προσώπων, περιουσιακών στοιχείων, επαγγέλματος, κοινωνικού χώρου, σε συνδυασμό με την αβεβαιότητα της επιβίωσης, είχαν ως συνέπεια τη ριζική μεταβολή της ταυτότητας τους, τόσο σε ατομικό όσο και σε συλλογικό επίπεδο. […] Η νέα τους ταυτότητα, η «προσφυγική», ενεργοποιούσε λειτουργίες άλλοτε </w:t>
      </w:r>
      <w:r w:rsidR="00522DE3">
        <w:t>αμυντικές κι άλλοτε επιθετικές. Την ίδια στιγμή προσδιοριζόταν από τους όρους της ένταξης στην ελληνική κοινωνία, την αντιμετώπιση που είχαν από τους γηγενείς και το ελληνικό κράτος, καθώς και από τον τρόπο με τον οποίο οι ίδιοι προσλάμβαναν αυτήν την αντιμετώπιση και προσπαθούσαν να τη διαχειριστούν. Παράλληλα, αναπτυσσόταν και η άλλη ταυτότητα, η «μικρασιατική», που σηματοδοτούσε την αντίδραση στις υλικές απώλειες και στερήσεις</w:t>
      </w:r>
      <w:r w:rsidR="00F30CEF">
        <w:t xml:space="preserve"> του πρόσφυγα, στην αρνητική στάση των γηγενών απέναντί του, στην ελλιπή κρατική πρόνοια, στην περιθωριοποίηση</w:t>
      </w:r>
      <w:r w:rsidR="00F30CEF">
        <w:rPr>
          <w:rFonts w:cstheme="minorHAnsi"/>
        </w:rPr>
        <w:t>•</w:t>
      </w:r>
      <w:r w:rsidR="00F30CEF">
        <w:t xml:space="preserve"> όλα αυτά δηλαδή που προκαλούσαν δυσανεξία, παράπονα, αίσθηση μειονεξίας.</w:t>
      </w:r>
    </w:p>
    <w:p w:rsidR="004042DA" w:rsidRPr="004042DA" w:rsidRDefault="00F30CEF" w:rsidP="004042DA">
      <w:pPr>
        <w:jc w:val="both"/>
      </w:pPr>
      <w:r>
        <w:tab/>
      </w:r>
      <w:r>
        <w:tab/>
      </w:r>
      <w:r>
        <w:tab/>
      </w:r>
      <w:r w:rsidR="004042DA" w:rsidRPr="004042DA">
        <w:t xml:space="preserve">Ν. Ανδριώτης, Πρόσφυγες στην Ελλάδα 1821-1940, </w:t>
      </w:r>
      <w:r w:rsidR="00EE60F5">
        <w:t>σελ.299-305</w:t>
      </w:r>
    </w:p>
    <w:p w:rsidR="004042DA" w:rsidRPr="004042DA" w:rsidRDefault="004042DA" w:rsidP="004042DA">
      <w:pPr>
        <w:jc w:val="both"/>
      </w:pPr>
    </w:p>
    <w:p w:rsidR="004042DA" w:rsidRDefault="004042DA"/>
    <w:sectPr w:rsidR="004042DA" w:rsidSect="004042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2DA"/>
    <w:rsid w:val="000442DC"/>
    <w:rsid w:val="00244B36"/>
    <w:rsid w:val="002D0D8C"/>
    <w:rsid w:val="002F4B5D"/>
    <w:rsid w:val="003C06AC"/>
    <w:rsid w:val="004042DA"/>
    <w:rsid w:val="00522DE3"/>
    <w:rsid w:val="0058746E"/>
    <w:rsid w:val="009563D2"/>
    <w:rsid w:val="00A51E1A"/>
    <w:rsid w:val="00C84C93"/>
    <w:rsid w:val="00C92740"/>
    <w:rsid w:val="00E81919"/>
    <w:rsid w:val="00EE60F5"/>
    <w:rsid w:val="00F30C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DB42F-0610-44D7-8D35-81EA6602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557</Words>
  <Characters>3012</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2021-03-15T08:52:00Z</dcterms:created>
  <dcterms:modified xsi:type="dcterms:W3CDTF">2021-03-16T17:49:00Z</dcterms:modified>
</cp:coreProperties>
</file>