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EF" w:rsidRDefault="003C48EF" w:rsidP="003C48EF">
      <w:r>
        <w:t>ΠΗΓΗ ΠΡΩΤΟΣ ΔΙΩΓΜΟΣ</w:t>
      </w:r>
    </w:p>
    <w:p w:rsidR="003C48EF" w:rsidRPr="00F67849" w:rsidRDefault="00F67849" w:rsidP="00F67849">
      <w:pPr>
        <w:rPr>
          <w:b/>
        </w:rPr>
      </w:pPr>
      <w:r w:rsidRPr="00F67849">
        <w:rPr>
          <w:b/>
        </w:rPr>
        <w:t>ΠΗΓΗ Α</w:t>
      </w:r>
      <w:r>
        <w:rPr>
          <w:b/>
        </w:rPr>
        <w:t xml:space="preserve"> </w:t>
      </w:r>
      <w:r w:rsidR="003C48EF" w:rsidRPr="00F67849">
        <w:rPr>
          <w:sz w:val="20"/>
          <w:szCs w:val="20"/>
        </w:rPr>
        <w:t>ΓΕΝΙΚΗ ΣΤΑΤΙΣΤΙΚΗ ΤΩΝ ΕΛΛΗΝΩΝ ΤΗΣ ΟΘΩΜΑΝΙΚΗΣ ΑΥΤΟΚΡΑΤΟΡΙΑΣΠΟΥ ΕΚΤΟΠΙΣΤΗΚΑΝ ΑΠΟ ΤΟ1913 ΕΩΣ ΤΟ 1918</w:t>
      </w:r>
    </w:p>
    <w:tbl>
      <w:tblPr>
        <w:tblStyle w:val="a3"/>
        <w:tblW w:w="0" w:type="auto"/>
        <w:tblLook w:val="04A0"/>
      </w:tblPr>
      <w:tblGrid>
        <w:gridCol w:w="2376"/>
        <w:gridCol w:w="2670"/>
        <w:gridCol w:w="2671"/>
        <w:gridCol w:w="2671"/>
      </w:tblGrid>
      <w:tr w:rsidR="003C48EF" w:rsidRPr="00F67849" w:rsidTr="003C48EF">
        <w:tc>
          <w:tcPr>
            <w:tcW w:w="10388" w:type="dxa"/>
            <w:gridSpan w:val="4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849">
              <w:rPr>
                <w:rFonts w:cstheme="minorHAnsi"/>
                <w:b/>
                <w:sz w:val="18"/>
                <w:szCs w:val="18"/>
              </w:rPr>
              <w:t>ΜΙΚΡΑ ΑΣΙΑ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Εκκλησιαστικές περιφέρειες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 xml:space="preserve">Μετά τους </w:t>
            </w:r>
            <w:r w:rsidR="00B61643" w:rsidRPr="00F67849">
              <w:rPr>
                <w:rFonts w:cstheme="minorHAnsi"/>
                <w:sz w:val="18"/>
                <w:szCs w:val="18"/>
              </w:rPr>
              <w:t>Β</w:t>
            </w:r>
            <w:r w:rsidRPr="00F67849">
              <w:rPr>
                <w:rFonts w:cstheme="minorHAnsi"/>
                <w:sz w:val="18"/>
                <w:szCs w:val="18"/>
              </w:rPr>
              <w:t>αλκανικούς πολέμους (1913-1914)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Κατά τη διάρκεια του Α΄ Παγκοσμίου Πολέμου (1914-1918)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Σύνολο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Έφεσος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49.695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8.239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57.934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Κρήνη (</w:t>
            </w:r>
            <w:proofErr w:type="spellStart"/>
            <w:r w:rsidRPr="00F67849">
              <w:rPr>
                <w:rFonts w:cstheme="minorHAnsi"/>
                <w:sz w:val="18"/>
                <w:szCs w:val="18"/>
              </w:rPr>
              <w:t>Τσεσμές</w:t>
            </w:r>
            <w:proofErr w:type="spellEnd"/>
            <w:r w:rsidRPr="00F6784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60.496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60.496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Σμύρνη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9.250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9.250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67849">
              <w:rPr>
                <w:rFonts w:cstheme="minorHAnsi"/>
                <w:sz w:val="18"/>
                <w:szCs w:val="18"/>
              </w:rPr>
              <w:t>Κυδωνίαι</w:t>
            </w:r>
            <w:proofErr w:type="spellEnd"/>
            <w:r w:rsidRPr="00F67849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F67849">
              <w:rPr>
                <w:rFonts w:cstheme="minorHAnsi"/>
                <w:sz w:val="18"/>
                <w:szCs w:val="18"/>
              </w:rPr>
              <w:t>Αϊβαλί</w:t>
            </w:r>
            <w:proofErr w:type="spellEnd"/>
            <w:r w:rsidRPr="00F6784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5.657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20.730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26.387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67849">
              <w:rPr>
                <w:rFonts w:cstheme="minorHAnsi"/>
                <w:sz w:val="18"/>
                <w:szCs w:val="18"/>
              </w:rPr>
              <w:t>Μοσχονήσια</w:t>
            </w:r>
            <w:proofErr w:type="spellEnd"/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6.000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6.000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Δαρδανέλια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19.055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6520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25.575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Μαρμαράς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29.600</w:t>
            </w:r>
          </w:p>
        </w:tc>
        <w:tc>
          <w:tcPr>
            <w:tcW w:w="2671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29.600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Προύσα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3C48EF" w:rsidRPr="00F67849" w:rsidRDefault="00155A5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12.076</w:t>
            </w:r>
          </w:p>
        </w:tc>
        <w:tc>
          <w:tcPr>
            <w:tcW w:w="2671" w:type="dxa"/>
            <w:vAlign w:val="center"/>
          </w:tcPr>
          <w:p w:rsidR="003C48EF" w:rsidRPr="00F67849" w:rsidRDefault="00155A5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12.076</w:t>
            </w:r>
          </w:p>
        </w:tc>
      </w:tr>
      <w:tr w:rsidR="003C48EF" w:rsidRPr="00F67849" w:rsidTr="003C48EF">
        <w:tc>
          <w:tcPr>
            <w:tcW w:w="2376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Χαλκηδών</w:t>
            </w:r>
          </w:p>
        </w:tc>
        <w:tc>
          <w:tcPr>
            <w:tcW w:w="2670" w:type="dxa"/>
            <w:vAlign w:val="center"/>
          </w:tcPr>
          <w:p w:rsidR="003C48EF" w:rsidRPr="00F67849" w:rsidRDefault="003C48EF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3C48EF" w:rsidRPr="00F67849" w:rsidRDefault="00155A5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9.394</w:t>
            </w:r>
          </w:p>
        </w:tc>
        <w:tc>
          <w:tcPr>
            <w:tcW w:w="2671" w:type="dxa"/>
            <w:vAlign w:val="center"/>
          </w:tcPr>
          <w:p w:rsidR="003C48EF" w:rsidRPr="00F67849" w:rsidRDefault="00155A5F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9.394</w:t>
            </w:r>
          </w:p>
        </w:tc>
      </w:tr>
      <w:tr w:rsidR="00B61643" w:rsidRPr="00F67849" w:rsidTr="003C48EF">
        <w:tc>
          <w:tcPr>
            <w:tcW w:w="2376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849">
              <w:rPr>
                <w:rFonts w:cstheme="minorHAnsi"/>
                <w:sz w:val="18"/>
                <w:szCs w:val="18"/>
              </w:rPr>
              <w:t>…….</w:t>
            </w:r>
          </w:p>
        </w:tc>
        <w:tc>
          <w:tcPr>
            <w:tcW w:w="2670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849">
              <w:rPr>
                <w:rFonts w:cstheme="minorHAnsi"/>
                <w:b/>
                <w:sz w:val="18"/>
                <w:szCs w:val="18"/>
              </w:rPr>
              <w:t>……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849">
              <w:rPr>
                <w:rFonts w:cstheme="minorHAnsi"/>
                <w:b/>
                <w:sz w:val="18"/>
                <w:szCs w:val="18"/>
              </w:rPr>
              <w:t>…..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849">
              <w:rPr>
                <w:rFonts w:cstheme="minorHAnsi"/>
                <w:b/>
                <w:sz w:val="18"/>
                <w:szCs w:val="18"/>
              </w:rPr>
              <w:t>……</w:t>
            </w:r>
          </w:p>
        </w:tc>
      </w:tr>
      <w:tr w:rsidR="00B61643" w:rsidRPr="00F67849" w:rsidTr="003C48EF">
        <w:tc>
          <w:tcPr>
            <w:tcW w:w="2376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849">
              <w:rPr>
                <w:rFonts w:cstheme="minorHAnsi"/>
                <w:b/>
                <w:sz w:val="18"/>
                <w:szCs w:val="18"/>
              </w:rPr>
              <w:t>153.890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849">
              <w:rPr>
                <w:rFonts w:cstheme="minorHAnsi"/>
                <w:b/>
                <w:sz w:val="18"/>
                <w:szCs w:val="18"/>
              </w:rPr>
              <w:t>144.559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C48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67849">
              <w:rPr>
                <w:rFonts w:cstheme="minorHAnsi"/>
                <w:b/>
                <w:sz w:val="18"/>
                <w:szCs w:val="18"/>
              </w:rPr>
              <w:t>298.449</w:t>
            </w:r>
          </w:p>
        </w:tc>
      </w:tr>
    </w:tbl>
    <w:p w:rsidR="003C48EF" w:rsidRDefault="003C48EF" w:rsidP="003C48EF">
      <w:pPr>
        <w:jc w:val="center"/>
      </w:pPr>
    </w:p>
    <w:tbl>
      <w:tblPr>
        <w:tblStyle w:val="a3"/>
        <w:tblW w:w="0" w:type="auto"/>
        <w:tblLook w:val="04A0"/>
      </w:tblPr>
      <w:tblGrid>
        <w:gridCol w:w="2376"/>
        <w:gridCol w:w="2670"/>
        <w:gridCol w:w="2671"/>
        <w:gridCol w:w="2671"/>
      </w:tblGrid>
      <w:tr w:rsidR="00B61643" w:rsidRPr="00F67849" w:rsidTr="00B61643">
        <w:tc>
          <w:tcPr>
            <w:tcW w:w="10388" w:type="dxa"/>
            <w:gridSpan w:val="4"/>
            <w:vAlign w:val="center"/>
          </w:tcPr>
          <w:p w:rsidR="00B61643" w:rsidRPr="00F67849" w:rsidRDefault="00B61643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ΠΟΝΤΟΣ</w:t>
            </w:r>
          </w:p>
        </w:tc>
      </w:tr>
      <w:tr w:rsidR="00B61643" w:rsidRPr="00F67849" w:rsidTr="00B616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Εκκλησιαστικές περιφέρειες</w:t>
            </w:r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Μετά τους Βαλκανικούς πολέμους (1913-1914)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Κατά τη διάρκεια του Α΄ Παγκοσμίου Πολέμου (1914-1918)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Σύνολο</w:t>
            </w:r>
          </w:p>
        </w:tc>
      </w:tr>
      <w:tr w:rsidR="00B61643" w:rsidRPr="00F67849" w:rsidTr="00B616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proofErr w:type="spellStart"/>
            <w:r w:rsidRPr="00F67849">
              <w:rPr>
                <w:sz w:val="18"/>
                <w:szCs w:val="18"/>
              </w:rPr>
              <w:t>Κασταμονή</w:t>
            </w:r>
            <w:proofErr w:type="spellEnd"/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27.216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27.216</w:t>
            </w:r>
          </w:p>
        </w:tc>
      </w:tr>
      <w:tr w:rsidR="00B61643" w:rsidRPr="00F67849" w:rsidTr="00B616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Αμάσεια</w:t>
            </w:r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89.370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89.370</w:t>
            </w:r>
          </w:p>
        </w:tc>
      </w:tr>
      <w:tr w:rsidR="00B61643" w:rsidRPr="00F67849" w:rsidTr="00B616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proofErr w:type="spellStart"/>
            <w:r w:rsidRPr="00F67849">
              <w:rPr>
                <w:sz w:val="18"/>
                <w:szCs w:val="18"/>
              </w:rPr>
              <w:t>Τραπεζούς</w:t>
            </w:r>
            <w:proofErr w:type="spellEnd"/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38.434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38.434</w:t>
            </w:r>
          </w:p>
        </w:tc>
      </w:tr>
      <w:tr w:rsidR="00B61643" w:rsidRPr="00F67849" w:rsidTr="00B616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proofErr w:type="spellStart"/>
            <w:r w:rsidRPr="00F67849">
              <w:rPr>
                <w:sz w:val="18"/>
                <w:szCs w:val="18"/>
              </w:rPr>
              <w:t>Χαλδία</w:t>
            </w:r>
            <w:proofErr w:type="spellEnd"/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64.582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64.582</w:t>
            </w:r>
          </w:p>
        </w:tc>
      </w:tr>
      <w:tr w:rsidR="00B61643" w:rsidRPr="00F67849" w:rsidTr="00B616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……</w:t>
            </w:r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……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…..</w:t>
            </w:r>
          </w:p>
        </w:tc>
      </w:tr>
      <w:tr w:rsidR="00B61643" w:rsidRPr="00F67849" w:rsidTr="00B616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257.019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257.019</w:t>
            </w:r>
          </w:p>
        </w:tc>
      </w:tr>
    </w:tbl>
    <w:p w:rsidR="00B61643" w:rsidRDefault="00B61643" w:rsidP="003C48EF">
      <w:pPr>
        <w:jc w:val="center"/>
      </w:pPr>
    </w:p>
    <w:tbl>
      <w:tblPr>
        <w:tblStyle w:val="a3"/>
        <w:tblW w:w="0" w:type="auto"/>
        <w:tblLook w:val="04A0"/>
      </w:tblPr>
      <w:tblGrid>
        <w:gridCol w:w="2376"/>
        <w:gridCol w:w="2670"/>
        <w:gridCol w:w="2671"/>
        <w:gridCol w:w="2671"/>
      </w:tblGrid>
      <w:tr w:rsidR="00B61643" w:rsidRPr="00F67849" w:rsidTr="00326E43">
        <w:tc>
          <w:tcPr>
            <w:tcW w:w="10388" w:type="dxa"/>
            <w:gridSpan w:val="4"/>
            <w:vAlign w:val="center"/>
          </w:tcPr>
          <w:p w:rsidR="00B61643" w:rsidRPr="00F67849" w:rsidRDefault="00B61643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ΑΝΑΤΟΛΙΚΗ ΘΡΑΚΗ</w:t>
            </w:r>
          </w:p>
        </w:tc>
      </w:tr>
      <w:tr w:rsidR="00B61643" w:rsidRPr="00F67849" w:rsidTr="00326E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Εκκλησιαστικές περιφέρειες</w:t>
            </w:r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Μετά τους Βαλκανικούς πολέμους (1913-1914)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Κατά τη διάρκεια του Α΄ Παγκοσμίου Πολέμου (1914-1918)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Σύνολο</w:t>
            </w:r>
          </w:p>
        </w:tc>
      </w:tr>
      <w:tr w:rsidR="00B61643" w:rsidRPr="00F67849" w:rsidTr="00326E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proofErr w:type="spellStart"/>
            <w:r w:rsidRPr="00F67849">
              <w:rPr>
                <w:sz w:val="18"/>
                <w:szCs w:val="18"/>
              </w:rPr>
              <w:t>Ανδριανούπολη</w:t>
            </w:r>
            <w:proofErr w:type="spellEnd"/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17.334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17.334</w:t>
            </w:r>
          </w:p>
        </w:tc>
      </w:tr>
      <w:tr w:rsidR="00B61643" w:rsidRPr="00F67849" w:rsidTr="00326E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Βιζύη</w:t>
            </w:r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20.667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8.106</w:t>
            </w:r>
          </w:p>
        </w:tc>
        <w:tc>
          <w:tcPr>
            <w:tcW w:w="2671" w:type="dxa"/>
            <w:vAlign w:val="center"/>
          </w:tcPr>
          <w:p w:rsidR="00B61643" w:rsidRPr="00F67849" w:rsidRDefault="00D31111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28.783</w:t>
            </w:r>
          </w:p>
        </w:tc>
      </w:tr>
      <w:tr w:rsidR="00B61643" w:rsidRPr="00F67849" w:rsidTr="00326E43">
        <w:tc>
          <w:tcPr>
            <w:tcW w:w="2376" w:type="dxa"/>
            <w:vAlign w:val="center"/>
          </w:tcPr>
          <w:p w:rsidR="00B61643" w:rsidRPr="00F67849" w:rsidRDefault="00D31111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Ηράκλεια</w:t>
            </w:r>
          </w:p>
        </w:tc>
        <w:tc>
          <w:tcPr>
            <w:tcW w:w="2670" w:type="dxa"/>
            <w:vAlign w:val="center"/>
          </w:tcPr>
          <w:p w:rsidR="00B61643" w:rsidRPr="00F67849" w:rsidRDefault="00D31111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29.081</w:t>
            </w:r>
          </w:p>
        </w:tc>
        <w:tc>
          <w:tcPr>
            <w:tcW w:w="2671" w:type="dxa"/>
            <w:vAlign w:val="center"/>
          </w:tcPr>
          <w:p w:rsidR="00B61643" w:rsidRPr="00F67849" w:rsidRDefault="00D31111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22.688</w:t>
            </w:r>
          </w:p>
        </w:tc>
        <w:tc>
          <w:tcPr>
            <w:tcW w:w="2671" w:type="dxa"/>
            <w:vAlign w:val="center"/>
          </w:tcPr>
          <w:p w:rsidR="00B61643" w:rsidRPr="00F67849" w:rsidRDefault="00D31111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51.769</w:t>
            </w:r>
          </w:p>
        </w:tc>
      </w:tr>
      <w:tr w:rsidR="00B61643" w:rsidRPr="00F67849" w:rsidTr="00326E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Σηλυβρία</w:t>
            </w:r>
          </w:p>
        </w:tc>
        <w:tc>
          <w:tcPr>
            <w:tcW w:w="2670" w:type="dxa"/>
            <w:vAlign w:val="center"/>
          </w:tcPr>
          <w:p w:rsidR="00B61643" w:rsidRPr="00F67849" w:rsidRDefault="00D31111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2.960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D31111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2.960</w:t>
            </w:r>
          </w:p>
        </w:tc>
      </w:tr>
      <w:tr w:rsidR="00B61643" w:rsidRPr="00F67849" w:rsidTr="00326E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……</w:t>
            </w:r>
          </w:p>
        </w:tc>
        <w:tc>
          <w:tcPr>
            <w:tcW w:w="2670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……</w:t>
            </w:r>
          </w:p>
        </w:tc>
        <w:tc>
          <w:tcPr>
            <w:tcW w:w="2671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  <w:r w:rsidRPr="00F67849">
              <w:rPr>
                <w:sz w:val="18"/>
                <w:szCs w:val="18"/>
              </w:rPr>
              <w:t>…..</w:t>
            </w:r>
          </w:p>
        </w:tc>
      </w:tr>
      <w:tr w:rsidR="00B61643" w:rsidRPr="00F67849" w:rsidTr="00326E43">
        <w:tc>
          <w:tcPr>
            <w:tcW w:w="2376" w:type="dxa"/>
            <w:vAlign w:val="center"/>
          </w:tcPr>
          <w:p w:rsidR="00B61643" w:rsidRPr="00F67849" w:rsidRDefault="00B61643" w:rsidP="00326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vAlign w:val="center"/>
          </w:tcPr>
          <w:p w:rsidR="00B61643" w:rsidRPr="00F67849" w:rsidRDefault="009F68D9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130.282</w:t>
            </w:r>
          </w:p>
        </w:tc>
        <w:tc>
          <w:tcPr>
            <w:tcW w:w="2671" w:type="dxa"/>
            <w:vAlign w:val="center"/>
          </w:tcPr>
          <w:p w:rsidR="00B61643" w:rsidRPr="00F67849" w:rsidRDefault="009F68D9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88.165</w:t>
            </w:r>
          </w:p>
        </w:tc>
        <w:tc>
          <w:tcPr>
            <w:tcW w:w="2671" w:type="dxa"/>
            <w:vAlign w:val="center"/>
          </w:tcPr>
          <w:p w:rsidR="00B61643" w:rsidRPr="00F67849" w:rsidRDefault="009F68D9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218.447</w:t>
            </w:r>
          </w:p>
        </w:tc>
      </w:tr>
      <w:tr w:rsidR="009F68D9" w:rsidRPr="00F67849" w:rsidTr="009F68D9">
        <w:trPr>
          <w:trHeight w:val="605"/>
        </w:trPr>
        <w:tc>
          <w:tcPr>
            <w:tcW w:w="2376" w:type="dxa"/>
            <w:vAlign w:val="center"/>
          </w:tcPr>
          <w:p w:rsidR="009F68D9" w:rsidRPr="00F67849" w:rsidRDefault="009F68D9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2670" w:type="dxa"/>
            <w:vAlign w:val="center"/>
          </w:tcPr>
          <w:p w:rsidR="009F68D9" w:rsidRPr="00F67849" w:rsidRDefault="009F68D9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284.172</w:t>
            </w:r>
          </w:p>
        </w:tc>
        <w:tc>
          <w:tcPr>
            <w:tcW w:w="2671" w:type="dxa"/>
            <w:vAlign w:val="center"/>
          </w:tcPr>
          <w:p w:rsidR="009F68D9" w:rsidRPr="00F67849" w:rsidRDefault="009F68D9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489.743</w:t>
            </w:r>
          </w:p>
        </w:tc>
        <w:tc>
          <w:tcPr>
            <w:tcW w:w="2671" w:type="dxa"/>
            <w:vAlign w:val="center"/>
          </w:tcPr>
          <w:p w:rsidR="009F68D9" w:rsidRPr="00F67849" w:rsidRDefault="009F68D9" w:rsidP="00326E43">
            <w:pPr>
              <w:jc w:val="center"/>
              <w:rPr>
                <w:b/>
                <w:sz w:val="18"/>
                <w:szCs w:val="18"/>
              </w:rPr>
            </w:pPr>
            <w:r w:rsidRPr="00F67849">
              <w:rPr>
                <w:b/>
                <w:sz w:val="18"/>
                <w:szCs w:val="18"/>
              </w:rPr>
              <w:t>773.915</w:t>
            </w:r>
          </w:p>
        </w:tc>
      </w:tr>
    </w:tbl>
    <w:p w:rsidR="00B61643" w:rsidRPr="00F67849" w:rsidRDefault="009F68D9" w:rsidP="009F68D9">
      <w:pPr>
        <w:rPr>
          <w:sz w:val="18"/>
          <w:szCs w:val="18"/>
        </w:rPr>
      </w:pPr>
      <w:r w:rsidRPr="00F67849">
        <w:rPr>
          <w:sz w:val="18"/>
          <w:szCs w:val="18"/>
        </w:rPr>
        <w:t xml:space="preserve">Πηγή: Από αναλυτικούς πίνακες του Πατριαρχείου, </w:t>
      </w:r>
      <w:proofErr w:type="spellStart"/>
      <w:r w:rsidRPr="00F67849">
        <w:rPr>
          <w:sz w:val="18"/>
          <w:szCs w:val="18"/>
        </w:rPr>
        <w:t>δηµοσιευµένους</w:t>
      </w:r>
      <w:proofErr w:type="spellEnd"/>
      <w:r w:rsidRPr="00F67849">
        <w:rPr>
          <w:sz w:val="18"/>
          <w:szCs w:val="18"/>
        </w:rPr>
        <w:t xml:space="preserve"> στου </w:t>
      </w:r>
      <w:proofErr w:type="spellStart"/>
      <w:r w:rsidRPr="00F67849">
        <w:rPr>
          <w:sz w:val="18"/>
          <w:szCs w:val="18"/>
        </w:rPr>
        <w:t>Rene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Puaux</w:t>
      </w:r>
      <w:proofErr w:type="spellEnd"/>
      <w:r w:rsidRPr="00F67849">
        <w:rPr>
          <w:sz w:val="18"/>
          <w:szCs w:val="18"/>
        </w:rPr>
        <w:t xml:space="preserve">, </w:t>
      </w:r>
      <w:proofErr w:type="spellStart"/>
      <w:r w:rsidRPr="00F67849">
        <w:rPr>
          <w:sz w:val="18"/>
          <w:szCs w:val="18"/>
        </w:rPr>
        <w:t>La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deportation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et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le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repatriement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des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Grecs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en</w:t>
      </w:r>
      <w:proofErr w:type="spellEnd"/>
      <w:r w:rsidRPr="00F67849">
        <w:rPr>
          <w:sz w:val="18"/>
          <w:szCs w:val="18"/>
        </w:rPr>
        <w:t xml:space="preserve"> </w:t>
      </w:r>
      <w:proofErr w:type="spellStart"/>
      <w:r w:rsidRPr="00F67849">
        <w:rPr>
          <w:sz w:val="18"/>
          <w:szCs w:val="18"/>
        </w:rPr>
        <w:t>Turquie</w:t>
      </w:r>
      <w:proofErr w:type="spellEnd"/>
      <w:r w:rsidRPr="00F67849">
        <w:rPr>
          <w:sz w:val="18"/>
          <w:szCs w:val="18"/>
        </w:rPr>
        <w:t xml:space="preserve">, </w:t>
      </w:r>
      <w:proofErr w:type="spellStart"/>
      <w:r w:rsidRPr="00F67849">
        <w:rPr>
          <w:sz w:val="18"/>
          <w:szCs w:val="18"/>
        </w:rPr>
        <w:t>Paris</w:t>
      </w:r>
      <w:proofErr w:type="spellEnd"/>
      <w:r w:rsidRPr="00F67849">
        <w:rPr>
          <w:sz w:val="18"/>
          <w:szCs w:val="18"/>
        </w:rPr>
        <w:t xml:space="preserve"> 1919, σελ. 8.</w:t>
      </w:r>
    </w:p>
    <w:p w:rsidR="009F68D9" w:rsidRDefault="009F68D9" w:rsidP="009F68D9"/>
    <w:p w:rsidR="00F67849" w:rsidRPr="00F67849" w:rsidRDefault="00F67849" w:rsidP="00F67849">
      <w:pPr>
        <w:jc w:val="both"/>
        <w:rPr>
          <w:sz w:val="20"/>
          <w:szCs w:val="20"/>
        </w:rPr>
      </w:pPr>
      <w:r w:rsidRPr="00F67849">
        <w:rPr>
          <w:b/>
          <w:sz w:val="20"/>
          <w:szCs w:val="20"/>
        </w:rPr>
        <w:t>ΠΗΓΗ Β</w:t>
      </w:r>
      <w:r w:rsidRPr="00F67849">
        <w:rPr>
          <w:sz w:val="20"/>
          <w:szCs w:val="20"/>
        </w:rPr>
        <w:t xml:space="preserve"> </w:t>
      </w:r>
      <w:r w:rsidR="009F68D9" w:rsidRPr="00F67849">
        <w:rPr>
          <w:sz w:val="20"/>
          <w:szCs w:val="20"/>
        </w:rPr>
        <w:t xml:space="preserve">Τα </w:t>
      </w:r>
      <w:proofErr w:type="spellStart"/>
      <w:r w:rsidR="009F68D9" w:rsidRPr="00F67849">
        <w:rPr>
          <w:sz w:val="20"/>
          <w:szCs w:val="20"/>
        </w:rPr>
        <w:t>εµπρηστικά</w:t>
      </w:r>
      <w:proofErr w:type="spellEnd"/>
      <w:r w:rsidR="009F68D9" w:rsidRPr="00F67849">
        <w:rPr>
          <w:sz w:val="20"/>
          <w:szCs w:val="20"/>
        </w:rPr>
        <w:t xml:space="preserve"> άρθρα του τουρκικού Τύπου άρχισαν να </w:t>
      </w:r>
      <w:proofErr w:type="spellStart"/>
      <w:r w:rsidR="009F68D9" w:rsidRPr="00F67849">
        <w:rPr>
          <w:sz w:val="20"/>
          <w:szCs w:val="20"/>
        </w:rPr>
        <w:t>δηµοσιεύονται</w:t>
      </w:r>
      <w:proofErr w:type="spellEnd"/>
      <w:r w:rsidR="009F68D9" w:rsidRPr="00F67849">
        <w:rPr>
          <w:sz w:val="20"/>
          <w:szCs w:val="20"/>
        </w:rPr>
        <w:t xml:space="preserve"> εντελώς ξαφνικά και χωρίς </w:t>
      </w:r>
      <w:proofErr w:type="spellStart"/>
      <w:r w:rsidR="009F68D9" w:rsidRPr="00F67849">
        <w:rPr>
          <w:sz w:val="20"/>
          <w:szCs w:val="20"/>
        </w:rPr>
        <w:t>καµιά</w:t>
      </w:r>
      <w:proofErr w:type="spellEnd"/>
      <w:r w:rsidR="009F68D9" w:rsidRPr="00F67849">
        <w:rPr>
          <w:sz w:val="20"/>
          <w:szCs w:val="20"/>
        </w:rPr>
        <w:t xml:space="preserve"> φανερή </w:t>
      </w:r>
      <w:proofErr w:type="spellStart"/>
      <w:r w:rsidR="009F68D9" w:rsidRPr="00F67849">
        <w:rPr>
          <w:sz w:val="20"/>
          <w:szCs w:val="20"/>
        </w:rPr>
        <w:t>αφορµή</w:t>
      </w:r>
      <w:proofErr w:type="spellEnd"/>
      <w:r w:rsidR="009F68D9" w:rsidRPr="00F67849">
        <w:rPr>
          <w:sz w:val="20"/>
          <w:szCs w:val="20"/>
        </w:rPr>
        <w:t xml:space="preserve">. Ήταν τόσο </w:t>
      </w:r>
      <w:proofErr w:type="spellStart"/>
      <w:r w:rsidR="009F68D9" w:rsidRPr="00F67849">
        <w:rPr>
          <w:sz w:val="20"/>
          <w:szCs w:val="20"/>
        </w:rPr>
        <w:t>οφθαλµοφανές</w:t>
      </w:r>
      <w:proofErr w:type="spellEnd"/>
      <w:r w:rsidR="009F68D9" w:rsidRPr="00F67849">
        <w:rPr>
          <w:sz w:val="20"/>
          <w:szCs w:val="20"/>
        </w:rPr>
        <w:t xml:space="preserve"> πως ήταν «παραγγελία» της κυβέρνησης, που µου φαίνεται απίστευτο ότι δεν το κατάλαβαν </w:t>
      </w:r>
      <w:proofErr w:type="spellStart"/>
      <w:r w:rsidR="009F68D9" w:rsidRPr="00F67849">
        <w:rPr>
          <w:sz w:val="20"/>
          <w:szCs w:val="20"/>
        </w:rPr>
        <w:t>ακόµα</w:t>
      </w:r>
      <w:proofErr w:type="spellEnd"/>
      <w:r w:rsidR="009F68D9" w:rsidRPr="00F67849">
        <w:rPr>
          <w:sz w:val="20"/>
          <w:szCs w:val="20"/>
        </w:rPr>
        <w:t xml:space="preserve"> και οι πιο </w:t>
      </w:r>
      <w:proofErr w:type="spellStart"/>
      <w:r w:rsidR="009F68D9" w:rsidRPr="00F67849">
        <w:rPr>
          <w:sz w:val="20"/>
          <w:szCs w:val="20"/>
        </w:rPr>
        <w:t>αµόρφωτοι</w:t>
      </w:r>
      <w:proofErr w:type="spellEnd"/>
      <w:r w:rsidR="009F68D9" w:rsidRPr="00F67849">
        <w:rPr>
          <w:sz w:val="20"/>
          <w:szCs w:val="20"/>
        </w:rPr>
        <w:t xml:space="preserve"> Τούρκοι. Την ίδια εποχή έκαναν την </w:t>
      </w:r>
      <w:proofErr w:type="spellStart"/>
      <w:r w:rsidR="009F68D9" w:rsidRPr="00F67849">
        <w:rPr>
          <w:sz w:val="20"/>
          <w:szCs w:val="20"/>
        </w:rPr>
        <w:t>εµφάνισή</w:t>
      </w:r>
      <w:proofErr w:type="spellEnd"/>
      <w:r w:rsidR="009F68D9" w:rsidRPr="00F67849">
        <w:rPr>
          <w:sz w:val="20"/>
          <w:szCs w:val="20"/>
        </w:rPr>
        <w:t xml:space="preserve"> τους και κάτι ευτελείς λιθογραφίες, </w:t>
      </w:r>
      <w:proofErr w:type="spellStart"/>
      <w:r w:rsidR="009F68D9" w:rsidRPr="00F67849">
        <w:rPr>
          <w:sz w:val="20"/>
          <w:szCs w:val="20"/>
        </w:rPr>
        <w:t>κατασκευασµένες</w:t>
      </w:r>
      <w:proofErr w:type="spellEnd"/>
      <w:r w:rsidR="009F68D9" w:rsidRPr="00F67849">
        <w:rPr>
          <w:sz w:val="20"/>
          <w:szCs w:val="20"/>
        </w:rPr>
        <w:t xml:space="preserve"> στο πόδι, </w:t>
      </w:r>
      <w:proofErr w:type="spellStart"/>
      <w:r w:rsidR="009F68D9" w:rsidRPr="00F67849">
        <w:rPr>
          <w:sz w:val="20"/>
          <w:szCs w:val="20"/>
        </w:rPr>
        <w:t>τροµερά</w:t>
      </w:r>
      <w:proofErr w:type="spellEnd"/>
      <w:r w:rsidR="009F68D9" w:rsidRPr="00F67849">
        <w:rPr>
          <w:sz w:val="20"/>
          <w:szCs w:val="20"/>
        </w:rPr>
        <w:t xml:space="preserve"> κακότεχνες - προφανώς αποτελούσαν «έργα τέχνης» ντόπιων «καλλιτεχνών». Οι λιθογραφίες αυτές απεικόνιζαν Έλληνες να σφάζουν </w:t>
      </w:r>
      <w:proofErr w:type="spellStart"/>
      <w:r w:rsidR="009F68D9" w:rsidRPr="00F67849">
        <w:rPr>
          <w:sz w:val="20"/>
          <w:szCs w:val="20"/>
        </w:rPr>
        <w:t>τουρκάκια</w:t>
      </w:r>
      <w:proofErr w:type="spellEnd"/>
      <w:r w:rsidR="009F68D9" w:rsidRPr="00F67849">
        <w:rPr>
          <w:sz w:val="20"/>
          <w:szCs w:val="20"/>
        </w:rPr>
        <w:t xml:space="preserve"> και να ξεκοιλιάζουν εγκύους µ</w:t>
      </w:r>
      <w:proofErr w:type="spellStart"/>
      <w:r w:rsidR="009F68D9" w:rsidRPr="00F67849">
        <w:rPr>
          <w:sz w:val="20"/>
          <w:szCs w:val="20"/>
        </w:rPr>
        <w:t>ουσουλµάνες</w:t>
      </w:r>
      <w:proofErr w:type="spellEnd"/>
      <w:r w:rsidR="009F68D9" w:rsidRPr="00F67849">
        <w:rPr>
          <w:sz w:val="20"/>
          <w:szCs w:val="20"/>
        </w:rPr>
        <w:t xml:space="preserve">, καθώς και άλλες φανταστικές σκηνές που δε στηρίζονταν σε κανένα </w:t>
      </w:r>
      <w:proofErr w:type="spellStart"/>
      <w:r w:rsidR="009F68D9" w:rsidRPr="00F67849">
        <w:rPr>
          <w:sz w:val="20"/>
          <w:szCs w:val="20"/>
        </w:rPr>
        <w:t>πραγµατικό</w:t>
      </w:r>
      <w:proofErr w:type="spellEnd"/>
      <w:r w:rsidR="009F68D9" w:rsidRPr="00F67849">
        <w:rPr>
          <w:sz w:val="20"/>
          <w:szCs w:val="20"/>
        </w:rPr>
        <w:t xml:space="preserve"> περιστατικό - ούτε καν σε </w:t>
      </w:r>
      <w:proofErr w:type="spellStart"/>
      <w:r w:rsidR="009F68D9" w:rsidRPr="00F67849">
        <w:rPr>
          <w:sz w:val="20"/>
          <w:szCs w:val="20"/>
        </w:rPr>
        <w:t>στηµένες</w:t>
      </w:r>
      <w:proofErr w:type="spellEnd"/>
      <w:r w:rsidR="009F68D9" w:rsidRPr="00F67849">
        <w:rPr>
          <w:sz w:val="20"/>
          <w:szCs w:val="20"/>
        </w:rPr>
        <w:t xml:space="preserve"> κατηγορίες. Οι εικόνες αυτές αναρτήθηκαν έξω από </w:t>
      </w:r>
      <w:proofErr w:type="spellStart"/>
      <w:r w:rsidR="009F68D9" w:rsidRPr="00F67849">
        <w:rPr>
          <w:sz w:val="20"/>
          <w:szCs w:val="20"/>
        </w:rPr>
        <w:t>τζαµιά</w:t>
      </w:r>
      <w:proofErr w:type="spellEnd"/>
      <w:r w:rsidR="009F68D9" w:rsidRPr="00F67849">
        <w:rPr>
          <w:sz w:val="20"/>
          <w:szCs w:val="20"/>
        </w:rPr>
        <w:t xml:space="preserve"> και σχολεία. Η προπαγάνδα αυτή απέφερε </w:t>
      </w:r>
      <w:proofErr w:type="spellStart"/>
      <w:r w:rsidR="009F68D9" w:rsidRPr="00F67849">
        <w:rPr>
          <w:sz w:val="20"/>
          <w:szCs w:val="20"/>
        </w:rPr>
        <w:t>αµέσως</w:t>
      </w:r>
      <w:proofErr w:type="spellEnd"/>
      <w:r w:rsidR="009F68D9" w:rsidRPr="00F67849">
        <w:rPr>
          <w:sz w:val="20"/>
          <w:szCs w:val="20"/>
        </w:rPr>
        <w:t xml:space="preserve"> καρπούς και ξεσήκωσε τους Τούρκους - κάτι µάλλον εύκολο για την επιθετική ιδιοσυγκρασία τους. </w:t>
      </w:r>
    </w:p>
    <w:p w:rsidR="009F68D9" w:rsidRPr="00F67849" w:rsidRDefault="00F67849" w:rsidP="00F67849">
      <w:pPr>
        <w:jc w:val="both"/>
        <w:rPr>
          <w:sz w:val="20"/>
          <w:szCs w:val="20"/>
        </w:rPr>
      </w:pPr>
      <w:r w:rsidRPr="00F67849">
        <w:rPr>
          <w:sz w:val="20"/>
          <w:szCs w:val="20"/>
        </w:rPr>
        <w:tab/>
      </w:r>
      <w:r w:rsidR="009F68D9" w:rsidRPr="00F67849">
        <w:rPr>
          <w:sz w:val="20"/>
          <w:szCs w:val="20"/>
        </w:rPr>
        <w:t xml:space="preserve">G. </w:t>
      </w:r>
      <w:proofErr w:type="spellStart"/>
      <w:r w:rsidR="009F68D9" w:rsidRPr="00F67849">
        <w:rPr>
          <w:sz w:val="20"/>
          <w:szCs w:val="20"/>
        </w:rPr>
        <w:t>Horton</w:t>
      </w:r>
      <w:proofErr w:type="spellEnd"/>
      <w:r w:rsidR="009F68D9" w:rsidRPr="00F67849">
        <w:rPr>
          <w:sz w:val="20"/>
          <w:szCs w:val="20"/>
        </w:rPr>
        <w:t xml:space="preserve">, Αναφορικά µε την Τουρκία, </w:t>
      </w:r>
      <w:proofErr w:type="spellStart"/>
      <w:r w:rsidR="009F68D9" w:rsidRPr="00F67849">
        <w:rPr>
          <w:sz w:val="20"/>
          <w:szCs w:val="20"/>
        </w:rPr>
        <w:t>εκδ</w:t>
      </w:r>
      <w:proofErr w:type="spellEnd"/>
      <w:r w:rsidR="009F68D9" w:rsidRPr="00F67849">
        <w:rPr>
          <w:sz w:val="20"/>
          <w:szCs w:val="20"/>
        </w:rPr>
        <w:t xml:space="preserve">. «Νέα Σύνορα» - Α. Α. Λιβάνη, Αθήνα 1992, </w:t>
      </w:r>
      <w:proofErr w:type="spellStart"/>
      <w:r w:rsidR="009F68D9" w:rsidRPr="00F67849">
        <w:rPr>
          <w:sz w:val="20"/>
          <w:szCs w:val="20"/>
        </w:rPr>
        <w:t>σσ</w:t>
      </w:r>
      <w:proofErr w:type="spellEnd"/>
      <w:r w:rsidR="009F68D9" w:rsidRPr="00F67849">
        <w:rPr>
          <w:sz w:val="20"/>
          <w:szCs w:val="20"/>
        </w:rPr>
        <w:t>. 60-61</w:t>
      </w:r>
    </w:p>
    <w:p w:rsidR="00F67849" w:rsidRPr="00F67849" w:rsidRDefault="00F67849" w:rsidP="00F67849">
      <w:pPr>
        <w:jc w:val="both"/>
        <w:rPr>
          <w:sz w:val="20"/>
          <w:szCs w:val="20"/>
        </w:rPr>
      </w:pPr>
    </w:p>
    <w:p w:rsidR="00F67849" w:rsidRPr="00F67849" w:rsidRDefault="00F67849" w:rsidP="00F67849">
      <w:pPr>
        <w:jc w:val="both"/>
        <w:rPr>
          <w:sz w:val="20"/>
          <w:szCs w:val="20"/>
        </w:rPr>
      </w:pPr>
      <w:r w:rsidRPr="00F67849">
        <w:rPr>
          <w:b/>
          <w:sz w:val="20"/>
          <w:szCs w:val="20"/>
        </w:rPr>
        <w:t>ΠΗΓΗ Γ</w:t>
      </w:r>
      <w:r w:rsidRPr="00F67849">
        <w:rPr>
          <w:sz w:val="20"/>
          <w:szCs w:val="20"/>
        </w:rPr>
        <w:t xml:space="preserve"> Παραλλήλως προς την </w:t>
      </w:r>
      <w:proofErr w:type="spellStart"/>
      <w:r w:rsidRPr="00F67849">
        <w:rPr>
          <w:sz w:val="20"/>
          <w:szCs w:val="20"/>
        </w:rPr>
        <w:t>εγκατάστασιν</w:t>
      </w:r>
      <w:proofErr w:type="spellEnd"/>
      <w:r w:rsidRPr="00F67849">
        <w:rPr>
          <w:sz w:val="20"/>
          <w:szCs w:val="20"/>
        </w:rPr>
        <w:t xml:space="preserve"> των µ</w:t>
      </w:r>
      <w:proofErr w:type="spellStart"/>
      <w:r w:rsidRPr="00F67849">
        <w:rPr>
          <w:sz w:val="20"/>
          <w:szCs w:val="20"/>
        </w:rPr>
        <w:t>ωαµεθανών</w:t>
      </w:r>
      <w:proofErr w:type="spellEnd"/>
      <w:r w:rsidRPr="00F67849">
        <w:rPr>
          <w:sz w:val="20"/>
          <w:szCs w:val="20"/>
        </w:rPr>
        <w:t xml:space="preserve"> προσφύγων εις τα ελληνικά χωρία της Θράκης και των παραλίων της </w:t>
      </w:r>
      <w:proofErr w:type="spellStart"/>
      <w:r w:rsidRPr="00F67849">
        <w:rPr>
          <w:sz w:val="20"/>
          <w:szCs w:val="20"/>
        </w:rPr>
        <w:t>Μικράς</w:t>
      </w:r>
      <w:proofErr w:type="spellEnd"/>
      <w:r w:rsidRPr="00F67849">
        <w:rPr>
          <w:sz w:val="20"/>
          <w:szCs w:val="20"/>
        </w:rPr>
        <w:t xml:space="preserve"> Ασίας (διότι εις το </w:t>
      </w:r>
      <w:proofErr w:type="spellStart"/>
      <w:r w:rsidRPr="00F67849">
        <w:rPr>
          <w:sz w:val="20"/>
          <w:szCs w:val="20"/>
        </w:rPr>
        <w:t>εσωτερικόν</w:t>
      </w:r>
      <w:proofErr w:type="spellEnd"/>
      <w:r w:rsidRPr="00F67849">
        <w:rPr>
          <w:sz w:val="20"/>
          <w:szCs w:val="20"/>
        </w:rPr>
        <w:t xml:space="preserve"> της </w:t>
      </w:r>
      <w:proofErr w:type="spellStart"/>
      <w:r w:rsidRPr="00F67849">
        <w:rPr>
          <w:sz w:val="20"/>
          <w:szCs w:val="20"/>
        </w:rPr>
        <w:t>Μικράς</w:t>
      </w:r>
      <w:proofErr w:type="spellEnd"/>
      <w:r w:rsidRPr="00F67849">
        <w:rPr>
          <w:sz w:val="20"/>
          <w:szCs w:val="20"/>
        </w:rPr>
        <w:t xml:space="preserve"> Ασίας δεν έγιναν εγκαταστάσεις µ</w:t>
      </w:r>
      <w:proofErr w:type="spellStart"/>
      <w:r w:rsidRPr="00F67849">
        <w:rPr>
          <w:sz w:val="20"/>
          <w:szCs w:val="20"/>
        </w:rPr>
        <w:t>ουσουλµάνων</w:t>
      </w:r>
      <w:proofErr w:type="spellEnd"/>
      <w:r w:rsidRPr="00F67849">
        <w:rPr>
          <w:sz w:val="20"/>
          <w:szCs w:val="20"/>
        </w:rPr>
        <w:t xml:space="preserve"> εις ελληνικά χωρία) ετέθησαν εις </w:t>
      </w:r>
      <w:proofErr w:type="spellStart"/>
      <w:r w:rsidRPr="00F67849">
        <w:rPr>
          <w:sz w:val="20"/>
          <w:szCs w:val="20"/>
        </w:rPr>
        <w:t>ενέργειαν</w:t>
      </w:r>
      <w:proofErr w:type="spellEnd"/>
      <w:r w:rsidRPr="00F67849">
        <w:rPr>
          <w:sz w:val="20"/>
          <w:szCs w:val="20"/>
        </w:rPr>
        <w:t xml:space="preserve"> και πάντες οι δυνατοί τρόποι καταπιέσεως του </w:t>
      </w:r>
      <w:proofErr w:type="spellStart"/>
      <w:r w:rsidRPr="00F67849">
        <w:rPr>
          <w:sz w:val="20"/>
          <w:szCs w:val="20"/>
        </w:rPr>
        <w:t>ηµετέρου</w:t>
      </w:r>
      <w:proofErr w:type="spellEnd"/>
      <w:r w:rsidRPr="00F67849">
        <w:rPr>
          <w:sz w:val="20"/>
          <w:szCs w:val="20"/>
        </w:rPr>
        <w:t xml:space="preserve"> στοιχείου: </w:t>
      </w:r>
      <w:proofErr w:type="spellStart"/>
      <w:r w:rsidRPr="00F67849">
        <w:rPr>
          <w:sz w:val="20"/>
          <w:szCs w:val="20"/>
        </w:rPr>
        <w:t>εµπορικός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αποκλεισµός</w:t>
      </w:r>
      <w:proofErr w:type="spellEnd"/>
      <w:r w:rsidRPr="00F67849">
        <w:rPr>
          <w:sz w:val="20"/>
          <w:szCs w:val="20"/>
        </w:rPr>
        <w:t xml:space="preserve">, συλλήψεις, φυλακίσεις, κακώσεις, </w:t>
      </w:r>
      <w:proofErr w:type="spellStart"/>
      <w:r w:rsidRPr="00F67849">
        <w:rPr>
          <w:sz w:val="20"/>
          <w:szCs w:val="20"/>
        </w:rPr>
        <w:t>τραυµατισµοί</w:t>
      </w:r>
      <w:proofErr w:type="spellEnd"/>
      <w:r w:rsidRPr="00F67849">
        <w:rPr>
          <w:sz w:val="20"/>
          <w:szCs w:val="20"/>
        </w:rPr>
        <w:t xml:space="preserve">, δηώσεις, </w:t>
      </w:r>
      <w:proofErr w:type="spellStart"/>
      <w:r w:rsidRPr="00F67849">
        <w:rPr>
          <w:sz w:val="20"/>
          <w:szCs w:val="20"/>
        </w:rPr>
        <w:t>τροµοκρατία</w:t>
      </w:r>
      <w:proofErr w:type="spellEnd"/>
      <w:r w:rsidRPr="00F67849">
        <w:rPr>
          <w:sz w:val="20"/>
          <w:szCs w:val="20"/>
        </w:rPr>
        <w:t xml:space="preserve"> της υπαίθρου χώρας. Οι µ</w:t>
      </w:r>
      <w:proofErr w:type="spellStart"/>
      <w:r w:rsidRPr="00F67849">
        <w:rPr>
          <w:sz w:val="20"/>
          <w:szCs w:val="20"/>
        </w:rPr>
        <w:t>ωαµεθανοί</w:t>
      </w:r>
      <w:proofErr w:type="spellEnd"/>
      <w:r w:rsidRPr="00F67849">
        <w:rPr>
          <w:sz w:val="20"/>
          <w:szCs w:val="20"/>
        </w:rPr>
        <w:t xml:space="preserve"> πρόσφυγες µ</w:t>
      </w:r>
      <w:proofErr w:type="spellStart"/>
      <w:r w:rsidRPr="00F67849">
        <w:rPr>
          <w:sz w:val="20"/>
          <w:szCs w:val="20"/>
        </w:rPr>
        <w:t>όλις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εγκαθιστάµενοι</w:t>
      </w:r>
      <w:proofErr w:type="spellEnd"/>
      <w:r w:rsidRPr="00F67849">
        <w:rPr>
          <w:sz w:val="20"/>
          <w:szCs w:val="20"/>
        </w:rPr>
        <w:t xml:space="preserve"> εις τας </w:t>
      </w:r>
      <w:proofErr w:type="spellStart"/>
      <w:r w:rsidRPr="00F67849">
        <w:rPr>
          <w:sz w:val="20"/>
          <w:szCs w:val="20"/>
        </w:rPr>
        <w:t>χριστιανικάς</w:t>
      </w:r>
      <w:proofErr w:type="spellEnd"/>
      <w:r w:rsidRPr="00F67849">
        <w:rPr>
          <w:sz w:val="20"/>
          <w:szCs w:val="20"/>
        </w:rPr>
        <w:t xml:space="preserve"> οικίας </w:t>
      </w:r>
      <w:proofErr w:type="spellStart"/>
      <w:r w:rsidRPr="00F67849">
        <w:rPr>
          <w:sz w:val="20"/>
          <w:szCs w:val="20"/>
        </w:rPr>
        <w:t>εξεδίωκον</w:t>
      </w:r>
      <w:proofErr w:type="spellEnd"/>
      <w:r w:rsidRPr="00F67849">
        <w:rPr>
          <w:sz w:val="20"/>
          <w:szCs w:val="20"/>
        </w:rPr>
        <w:t xml:space="preserve"> τους </w:t>
      </w:r>
      <w:proofErr w:type="spellStart"/>
      <w:r w:rsidRPr="00F67849">
        <w:rPr>
          <w:sz w:val="20"/>
          <w:szCs w:val="20"/>
        </w:rPr>
        <w:t>ηµετέρους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οµογενείς</w:t>
      </w:r>
      <w:proofErr w:type="spellEnd"/>
      <w:r w:rsidRPr="00F67849">
        <w:rPr>
          <w:sz w:val="20"/>
          <w:szCs w:val="20"/>
        </w:rPr>
        <w:t xml:space="preserve"> και </w:t>
      </w:r>
      <w:proofErr w:type="spellStart"/>
      <w:r w:rsidRPr="00F67849">
        <w:rPr>
          <w:sz w:val="20"/>
          <w:szCs w:val="20"/>
        </w:rPr>
        <w:t>κατελάµβανον</w:t>
      </w:r>
      <w:proofErr w:type="spellEnd"/>
      <w:r w:rsidRPr="00F67849">
        <w:rPr>
          <w:sz w:val="20"/>
          <w:szCs w:val="20"/>
        </w:rPr>
        <w:t xml:space="preserve"> τα κτήνη, τα οικιακά σκεύη, έπιπλα, εργαλεία, και </w:t>
      </w:r>
      <w:proofErr w:type="spellStart"/>
      <w:r w:rsidRPr="00F67849">
        <w:rPr>
          <w:sz w:val="20"/>
          <w:szCs w:val="20"/>
        </w:rPr>
        <w:t>πάσαν</w:t>
      </w:r>
      <w:proofErr w:type="spellEnd"/>
      <w:r w:rsidRPr="00F67849">
        <w:rPr>
          <w:sz w:val="20"/>
          <w:szCs w:val="20"/>
        </w:rPr>
        <w:t xml:space="preserve"> εν γένει την </w:t>
      </w:r>
      <w:proofErr w:type="spellStart"/>
      <w:r w:rsidRPr="00F67849">
        <w:rPr>
          <w:sz w:val="20"/>
          <w:szCs w:val="20"/>
        </w:rPr>
        <w:t>περιουσίαν</w:t>
      </w:r>
      <w:proofErr w:type="spellEnd"/>
      <w:r w:rsidRPr="00F67849">
        <w:rPr>
          <w:sz w:val="20"/>
          <w:szCs w:val="20"/>
        </w:rPr>
        <w:t xml:space="preserve"> αυτών· τους </w:t>
      </w:r>
      <w:proofErr w:type="spellStart"/>
      <w:r w:rsidRPr="00F67849">
        <w:rPr>
          <w:sz w:val="20"/>
          <w:szCs w:val="20"/>
        </w:rPr>
        <w:t>ηνάγκαζον</w:t>
      </w:r>
      <w:proofErr w:type="spellEnd"/>
      <w:r w:rsidRPr="00F67849">
        <w:rPr>
          <w:sz w:val="20"/>
          <w:szCs w:val="20"/>
        </w:rPr>
        <w:t xml:space="preserve"> να </w:t>
      </w:r>
      <w:proofErr w:type="spellStart"/>
      <w:r w:rsidRPr="00F67849">
        <w:rPr>
          <w:sz w:val="20"/>
          <w:szCs w:val="20"/>
        </w:rPr>
        <w:t>εργασθώσι</w:t>
      </w:r>
      <w:proofErr w:type="spellEnd"/>
      <w:r w:rsidRPr="00F67849">
        <w:rPr>
          <w:sz w:val="20"/>
          <w:szCs w:val="20"/>
        </w:rPr>
        <w:t xml:space="preserve"> δια </w:t>
      </w:r>
      <w:proofErr w:type="spellStart"/>
      <w:r w:rsidRPr="00F67849">
        <w:rPr>
          <w:sz w:val="20"/>
          <w:szCs w:val="20"/>
        </w:rPr>
        <w:t>λογαριασµόν</w:t>
      </w:r>
      <w:proofErr w:type="spellEnd"/>
      <w:r w:rsidRPr="00F67849">
        <w:rPr>
          <w:sz w:val="20"/>
          <w:szCs w:val="20"/>
        </w:rPr>
        <w:t xml:space="preserve"> των </w:t>
      </w:r>
      <w:proofErr w:type="spellStart"/>
      <w:r w:rsidRPr="00F67849">
        <w:rPr>
          <w:sz w:val="20"/>
          <w:szCs w:val="20"/>
        </w:rPr>
        <w:lastRenderedPageBreak/>
        <w:t>κακοµεταχειριζόµενοι</w:t>
      </w:r>
      <w:proofErr w:type="spellEnd"/>
      <w:r w:rsidRPr="00F67849">
        <w:rPr>
          <w:sz w:val="20"/>
          <w:szCs w:val="20"/>
        </w:rPr>
        <w:t xml:space="preserve"> και παντοιοτρόπως </w:t>
      </w:r>
      <w:proofErr w:type="spellStart"/>
      <w:r w:rsidRPr="00F67849">
        <w:rPr>
          <w:sz w:val="20"/>
          <w:szCs w:val="20"/>
        </w:rPr>
        <w:t>πιέζοντες</w:t>
      </w:r>
      <w:proofErr w:type="spellEnd"/>
      <w:r w:rsidRPr="00F67849">
        <w:rPr>
          <w:sz w:val="20"/>
          <w:szCs w:val="20"/>
        </w:rPr>
        <w:t xml:space="preserve"> αυτούς. Εις τους δυστυχείς χριστιανούς ουδέν </w:t>
      </w:r>
      <w:proofErr w:type="spellStart"/>
      <w:r w:rsidRPr="00F67849">
        <w:rPr>
          <w:sz w:val="20"/>
          <w:szCs w:val="20"/>
        </w:rPr>
        <w:t>υπελείπετο</w:t>
      </w:r>
      <w:proofErr w:type="spellEnd"/>
      <w:r w:rsidRPr="00F67849">
        <w:rPr>
          <w:sz w:val="20"/>
          <w:szCs w:val="20"/>
        </w:rPr>
        <w:t xml:space="preserve"> ή ν’ </w:t>
      </w:r>
      <w:proofErr w:type="spellStart"/>
      <w:r w:rsidRPr="00F67849">
        <w:rPr>
          <w:sz w:val="20"/>
          <w:szCs w:val="20"/>
        </w:rPr>
        <w:t>αναχωρήσωσι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πεινώντες</w:t>
      </w:r>
      <w:proofErr w:type="spellEnd"/>
      <w:r w:rsidRPr="00F67849">
        <w:rPr>
          <w:sz w:val="20"/>
          <w:szCs w:val="20"/>
        </w:rPr>
        <w:t xml:space="preserve"> και </w:t>
      </w:r>
      <w:proofErr w:type="spellStart"/>
      <w:r w:rsidRPr="00F67849">
        <w:rPr>
          <w:sz w:val="20"/>
          <w:szCs w:val="20"/>
        </w:rPr>
        <w:t>εστερηµένοι</w:t>
      </w:r>
      <w:proofErr w:type="spellEnd"/>
      <w:r w:rsidRPr="00F67849">
        <w:rPr>
          <w:sz w:val="20"/>
          <w:szCs w:val="20"/>
        </w:rPr>
        <w:t xml:space="preserve"> των πάντων. [… ] Εν τω µ</w:t>
      </w:r>
      <w:proofErr w:type="spellStart"/>
      <w:r w:rsidRPr="00F67849">
        <w:rPr>
          <w:sz w:val="20"/>
          <w:szCs w:val="20"/>
        </w:rPr>
        <w:t>εταξύ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συµµορίαι</w:t>
      </w:r>
      <w:proofErr w:type="spellEnd"/>
      <w:r w:rsidRPr="00F67849">
        <w:rPr>
          <w:sz w:val="20"/>
          <w:szCs w:val="20"/>
        </w:rPr>
        <w:t xml:space="preserve"> ενόπλων µ</w:t>
      </w:r>
      <w:proofErr w:type="spellStart"/>
      <w:r w:rsidRPr="00F67849">
        <w:rPr>
          <w:sz w:val="20"/>
          <w:szCs w:val="20"/>
        </w:rPr>
        <w:t>ωαµεθανών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είχον</w:t>
      </w:r>
      <w:proofErr w:type="spellEnd"/>
      <w:r w:rsidRPr="00F67849">
        <w:rPr>
          <w:sz w:val="20"/>
          <w:szCs w:val="20"/>
        </w:rPr>
        <w:t xml:space="preserve"> καταστήσει αδύνατον την </w:t>
      </w:r>
      <w:proofErr w:type="spellStart"/>
      <w:r w:rsidRPr="00F67849">
        <w:rPr>
          <w:sz w:val="20"/>
          <w:szCs w:val="20"/>
        </w:rPr>
        <w:t>ύπαρξιν</w:t>
      </w:r>
      <w:proofErr w:type="spellEnd"/>
      <w:r w:rsidRPr="00F67849">
        <w:rPr>
          <w:sz w:val="20"/>
          <w:szCs w:val="20"/>
        </w:rPr>
        <w:t xml:space="preserve"> του </w:t>
      </w:r>
      <w:proofErr w:type="spellStart"/>
      <w:r w:rsidRPr="00F67849">
        <w:rPr>
          <w:sz w:val="20"/>
          <w:szCs w:val="20"/>
        </w:rPr>
        <w:t>ηµετέρου</w:t>
      </w:r>
      <w:proofErr w:type="spellEnd"/>
      <w:r w:rsidRPr="00F67849">
        <w:rPr>
          <w:sz w:val="20"/>
          <w:szCs w:val="20"/>
        </w:rPr>
        <w:t xml:space="preserve"> στοιχείου εν τη </w:t>
      </w:r>
      <w:proofErr w:type="spellStart"/>
      <w:r w:rsidRPr="00F67849">
        <w:rPr>
          <w:sz w:val="20"/>
          <w:szCs w:val="20"/>
        </w:rPr>
        <w:t>υπαίθρω</w:t>
      </w:r>
      <w:proofErr w:type="spellEnd"/>
      <w:r w:rsidRPr="00F67849">
        <w:rPr>
          <w:sz w:val="20"/>
          <w:szCs w:val="20"/>
        </w:rPr>
        <w:t xml:space="preserve"> χώρα. Οι φόνοι, οι </w:t>
      </w:r>
      <w:proofErr w:type="spellStart"/>
      <w:r w:rsidRPr="00F67849">
        <w:rPr>
          <w:sz w:val="20"/>
          <w:szCs w:val="20"/>
        </w:rPr>
        <w:t>τραυµατισµοί</w:t>
      </w:r>
      <w:proofErr w:type="spellEnd"/>
      <w:r w:rsidRPr="00F67849">
        <w:rPr>
          <w:sz w:val="20"/>
          <w:szCs w:val="20"/>
        </w:rPr>
        <w:t xml:space="preserve">, αι </w:t>
      </w:r>
      <w:proofErr w:type="spellStart"/>
      <w:r w:rsidRPr="00F67849">
        <w:rPr>
          <w:sz w:val="20"/>
          <w:szCs w:val="20"/>
        </w:rPr>
        <w:t>λεηλασίαι</w:t>
      </w:r>
      <w:proofErr w:type="spellEnd"/>
      <w:r w:rsidRPr="00F67849">
        <w:rPr>
          <w:sz w:val="20"/>
          <w:szCs w:val="20"/>
        </w:rPr>
        <w:t xml:space="preserve">, των ελληνικών περιουσιών ήσαν εις την </w:t>
      </w:r>
      <w:proofErr w:type="spellStart"/>
      <w:r w:rsidRPr="00F67849">
        <w:rPr>
          <w:sz w:val="20"/>
          <w:szCs w:val="20"/>
        </w:rPr>
        <w:t>ηµερησίαν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διάταξιν</w:t>
      </w:r>
      <w:proofErr w:type="spellEnd"/>
      <w:r w:rsidRPr="00F67849">
        <w:rPr>
          <w:sz w:val="20"/>
          <w:szCs w:val="20"/>
        </w:rPr>
        <w:t xml:space="preserve"> καθ’ </w:t>
      </w:r>
      <w:proofErr w:type="spellStart"/>
      <w:r w:rsidRPr="00F67849">
        <w:rPr>
          <w:sz w:val="20"/>
          <w:szCs w:val="20"/>
        </w:rPr>
        <w:t>όλην</w:t>
      </w:r>
      <w:proofErr w:type="spellEnd"/>
      <w:r w:rsidRPr="00F67849">
        <w:rPr>
          <w:sz w:val="20"/>
          <w:szCs w:val="20"/>
        </w:rPr>
        <w:t xml:space="preserve"> την </w:t>
      </w:r>
      <w:proofErr w:type="spellStart"/>
      <w:r w:rsidRPr="00F67849">
        <w:rPr>
          <w:sz w:val="20"/>
          <w:szCs w:val="20"/>
        </w:rPr>
        <w:t>Τουρκίαν</w:t>
      </w:r>
      <w:proofErr w:type="spellEnd"/>
      <w:r w:rsidRPr="00F67849">
        <w:rPr>
          <w:sz w:val="20"/>
          <w:szCs w:val="20"/>
        </w:rPr>
        <w:t xml:space="preserve">, εις τας </w:t>
      </w:r>
      <w:proofErr w:type="spellStart"/>
      <w:r w:rsidRPr="00F67849">
        <w:rPr>
          <w:sz w:val="20"/>
          <w:szCs w:val="20"/>
        </w:rPr>
        <w:t>συµµορίας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ελάµβανον</w:t>
      </w:r>
      <w:proofErr w:type="spellEnd"/>
      <w:r w:rsidRPr="00F67849">
        <w:rPr>
          <w:sz w:val="20"/>
          <w:szCs w:val="20"/>
        </w:rPr>
        <w:t xml:space="preserve"> µ</w:t>
      </w:r>
      <w:proofErr w:type="spellStart"/>
      <w:r w:rsidRPr="00F67849">
        <w:rPr>
          <w:sz w:val="20"/>
          <w:szCs w:val="20"/>
        </w:rPr>
        <w:t>έρος</w:t>
      </w:r>
      <w:proofErr w:type="spellEnd"/>
      <w:r w:rsidRPr="00F67849">
        <w:rPr>
          <w:sz w:val="20"/>
          <w:szCs w:val="20"/>
        </w:rPr>
        <w:t xml:space="preserve"> και </w:t>
      </w:r>
      <w:proofErr w:type="spellStart"/>
      <w:r w:rsidRPr="00F67849">
        <w:rPr>
          <w:sz w:val="20"/>
          <w:szCs w:val="20"/>
        </w:rPr>
        <w:t>αξιωµατικοί</w:t>
      </w:r>
      <w:proofErr w:type="spellEnd"/>
      <w:r w:rsidRPr="00F67849">
        <w:rPr>
          <w:sz w:val="20"/>
          <w:szCs w:val="20"/>
        </w:rPr>
        <w:t xml:space="preserve"> τούρκοι. Ο </w:t>
      </w:r>
      <w:proofErr w:type="spellStart"/>
      <w:r w:rsidRPr="00F67849">
        <w:rPr>
          <w:sz w:val="20"/>
          <w:szCs w:val="20"/>
        </w:rPr>
        <w:t>εµπορικός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αποκλεισµός</w:t>
      </w:r>
      <w:proofErr w:type="spellEnd"/>
      <w:r w:rsidRPr="00F67849">
        <w:rPr>
          <w:sz w:val="20"/>
          <w:szCs w:val="20"/>
        </w:rPr>
        <w:t xml:space="preserve"> </w:t>
      </w:r>
      <w:proofErr w:type="spellStart"/>
      <w:r w:rsidRPr="00F67849">
        <w:rPr>
          <w:sz w:val="20"/>
          <w:szCs w:val="20"/>
        </w:rPr>
        <w:t>εφηρµόζετο</w:t>
      </w:r>
      <w:proofErr w:type="spellEnd"/>
      <w:r w:rsidRPr="00F67849">
        <w:rPr>
          <w:sz w:val="20"/>
          <w:szCs w:val="20"/>
        </w:rPr>
        <w:t xml:space="preserve"> κατά τον </w:t>
      </w:r>
      <w:proofErr w:type="spellStart"/>
      <w:r w:rsidRPr="00F67849">
        <w:rPr>
          <w:sz w:val="20"/>
          <w:szCs w:val="20"/>
        </w:rPr>
        <w:t>αγριώτερον</w:t>
      </w:r>
      <w:proofErr w:type="spellEnd"/>
      <w:r w:rsidRPr="00F67849">
        <w:rPr>
          <w:sz w:val="20"/>
          <w:szCs w:val="20"/>
        </w:rPr>
        <w:t xml:space="preserve"> τρόπον. </w:t>
      </w:r>
    </w:p>
    <w:p w:rsidR="00F67849" w:rsidRDefault="00F67849" w:rsidP="009F68D9">
      <w:pPr>
        <w:rPr>
          <w:sz w:val="20"/>
          <w:szCs w:val="20"/>
        </w:rPr>
      </w:pPr>
      <w:r w:rsidRPr="00F67849">
        <w:rPr>
          <w:sz w:val="20"/>
          <w:szCs w:val="20"/>
        </w:rPr>
        <w:tab/>
      </w:r>
      <w:r w:rsidRPr="00F67849">
        <w:rPr>
          <w:sz w:val="20"/>
          <w:szCs w:val="20"/>
        </w:rPr>
        <w:tab/>
        <w:t>Ανέκδοτη επιστολή από το Αρχείο του Υπουργείου Εξωτερικών</w:t>
      </w:r>
    </w:p>
    <w:p w:rsidR="005B6855" w:rsidRDefault="005B6855" w:rsidP="009F68D9">
      <w:pPr>
        <w:rPr>
          <w:sz w:val="20"/>
          <w:szCs w:val="20"/>
        </w:rPr>
      </w:pPr>
    </w:p>
    <w:p w:rsidR="005B6855" w:rsidRDefault="005B6855" w:rsidP="005B6855">
      <w:r>
        <w:t xml:space="preserve">Λαμβάνοντας υπόψη σας τις παρακάτω ιστορικές πηγές και με τις γνώσεις απ’ το σχολικό βιβλίο σας να περιγράψετε τις μορφές του διωγμού του 1914 των Ελλήνων της Οθωμανικής Αυτοκρατορίας.                </w:t>
      </w:r>
    </w:p>
    <w:p w:rsidR="005B6855" w:rsidRDefault="005B6855" w:rsidP="009F68D9"/>
    <w:sectPr w:rsidR="005B6855" w:rsidSect="003C4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48EF"/>
    <w:rsid w:val="00155A5F"/>
    <w:rsid w:val="00337F7E"/>
    <w:rsid w:val="003C48EF"/>
    <w:rsid w:val="005B6855"/>
    <w:rsid w:val="009F68D9"/>
    <w:rsid w:val="00B61643"/>
    <w:rsid w:val="00D27F6D"/>
    <w:rsid w:val="00D31111"/>
    <w:rsid w:val="00DF61C6"/>
    <w:rsid w:val="00F6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8E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Βάγγος</cp:lastModifiedBy>
  <cp:revision>4</cp:revision>
  <dcterms:created xsi:type="dcterms:W3CDTF">2017-03-22T20:34:00Z</dcterms:created>
  <dcterms:modified xsi:type="dcterms:W3CDTF">2017-03-22T21:22:00Z</dcterms:modified>
</cp:coreProperties>
</file>