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48" w:rsidRDefault="005F1848" w:rsidP="005F184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Ουσιαστικά  γ κλίσης-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Ημιφωνόληκτα</w:t>
      </w:r>
      <w:proofErr w:type="spellEnd"/>
    </w:p>
    <w:p w:rsidR="005F1848" w:rsidRDefault="005F1848" w:rsidP="005F18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Τα </w:t>
      </w:r>
      <w:proofErr w:type="spellStart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ημιφωνόληκτα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 τριτόκλιτα ουσιαστικά κατά το χαρακτήρα είναι:</w:t>
      </w:r>
    </w:p>
    <w:p w:rsidR="005F1848" w:rsidRPr="005F1848" w:rsidRDefault="005F1848" w:rsidP="005F1848">
      <w:pPr>
        <w:shd w:val="clear" w:color="auto" w:fill="FFFFFF"/>
        <w:spacing w:after="0" w:line="360" w:lineRule="auto"/>
        <w:ind w:firstLine="346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α) </w:t>
      </w:r>
      <w:proofErr w:type="spellStart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ενρινόληκτα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(δηλ. με χαρακτήρα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ν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</w:t>
      </w:r>
    </w:p>
    <w:p w:rsidR="005F1848" w:rsidRPr="005F1848" w:rsidRDefault="005F1848" w:rsidP="005F1848">
      <w:pPr>
        <w:shd w:val="clear" w:color="auto" w:fill="FFFFFF"/>
        <w:spacing w:after="0" w:line="360" w:lineRule="auto"/>
        <w:ind w:firstLine="346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β) </w:t>
      </w: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υγρόληκτα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(δηλ. με χαρακτήρα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λ, ρ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</w:t>
      </w:r>
    </w:p>
    <w:p w:rsidR="005F1848" w:rsidRDefault="005F1848" w:rsidP="005F1848">
      <w:pPr>
        <w:shd w:val="clear" w:color="auto" w:fill="FFFFFF"/>
        <w:spacing w:after="0" w:line="36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γ) </w:t>
      </w:r>
      <w:proofErr w:type="spellStart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σιγμόληκτα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(δηλ. με χαρακτήρα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σ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).</w:t>
      </w:r>
    </w:p>
    <w:p w:rsidR="005F1848" w:rsidRDefault="005F1848" w:rsidP="005F1848">
      <w:pPr>
        <w:shd w:val="clear" w:color="auto" w:fill="FFFFFF"/>
        <w:spacing w:after="0" w:line="360" w:lineRule="auto"/>
        <w:ind w:firstLine="346"/>
        <w:jc w:val="both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360" w:lineRule="auto"/>
        <w:ind w:firstLine="346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7"/>
          <w:szCs w:val="17"/>
          <w:lang w:eastAsia="el-GR"/>
        </w:rPr>
      </w:pPr>
      <w:bookmarkStart w:id="0" w:name="more"/>
      <w:bookmarkEnd w:id="0"/>
    </w:p>
    <w:p w:rsidR="005F1848" w:rsidRPr="005F1848" w:rsidRDefault="005F1848" w:rsidP="005F18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proofErr w:type="spellStart"/>
      <w:r w:rsidRPr="005F1848">
        <w:rPr>
          <w:rFonts w:ascii="Arial" w:eastAsia="Times New Roman" w:hAnsi="Arial" w:cs="Arial"/>
          <w:b/>
          <w:bCs/>
          <w:color w:val="222222"/>
          <w:sz w:val="17"/>
          <w:szCs w:val="17"/>
          <w:lang w:eastAsia="el-GR"/>
        </w:rPr>
        <w:t>Ενρινόληκτα</w:t>
      </w:r>
      <w:proofErr w:type="spellEnd"/>
      <w:r w:rsidRPr="005F1848">
        <w:rPr>
          <w:rFonts w:ascii="Arial" w:eastAsia="Times New Roman" w:hAnsi="Arial" w:cs="Arial"/>
          <w:b/>
          <w:bCs/>
          <w:color w:val="222222"/>
          <w:sz w:val="17"/>
          <w:szCs w:val="17"/>
          <w:lang w:eastAsia="el-GR"/>
        </w:rPr>
        <w:t xml:space="preserve"> (χαρακτ. ν)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 </w:t>
      </w:r>
      <w:proofErr w:type="spellStart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Μονόθεμα</w:t>
      </w:r>
      <w:proofErr w:type="spellEnd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 xml:space="preserve"> -Καταληκτικά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tbl>
      <w:tblPr>
        <w:tblW w:w="7563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730"/>
        <w:gridCol w:w="701"/>
        <w:gridCol w:w="1259"/>
        <w:gridCol w:w="771"/>
        <w:gridCol w:w="1199"/>
        <w:gridCol w:w="1426"/>
        <w:gridCol w:w="1477"/>
      </w:tblGrid>
      <w:tr w:rsidR="005F1848" w:rsidRPr="005F1848" w:rsidTr="005F1848">
        <w:trPr>
          <w:trHeight w:val="2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(θ. 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ἀκτιν</w:t>
            </w:r>
            <w:proofErr w:type="spellEnd"/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(θ. 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Τιταν</w:t>
            </w:r>
            <w:proofErr w:type="spellEnd"/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(θ. 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Ἑλλην</w:t>
            </w:r>
            <w:proofErr w:type="spellEnd"/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(θ. 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χειμων</w:t>
            </w:r>
            <w:proofErr w:type="spellEnd"/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-)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Ενικός αριθμός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ἀκτὶς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Τιτὰν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χειμὼν</w:t>
            </w:r>
            <w:proofErr w:type="spellEnd"/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ἀκτὶς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Τιτὰν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χειμὼν</w:t>
            </w:r>
            <w:proofErr w:type="spellEnd"/>
          </w:p>
        </w:tc>
      </w:tr>
      <w:tr w:rsidR="005F1848" w:rsidRPr="005F1848" w:rsidTr="005F1848">
        <w:trPr>
          <w:trHeight w:val="5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Πληθυντικός αριθμός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ἀκτίν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Τιτάν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Ἑλλήν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χειμών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</w:tr>
      <w:tr w:rsidR="005F1848" w:rsidRPr="005F1848" w:rsidTr="005F1848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Ἕλληνας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</w:tr>
      <w:tr w:rsidR="005F1848" w:rsidRPr="005F1848" w:rsidTr="005F1848">
        <w:trPr>
          <w:trHeight w:val="2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ἀκτῖν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r w:rsidRPr="005F1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el-GR"/>
              </w:rPr>
              <w:t>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Τιτᾶν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Ἕλλην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χειμῶν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</w:tbl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</w:t>
      </w: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 </w:t>
      </w:r>
      <w:proofErr w:type="spellStart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Διπλόθεμα</w:t>
      </w:r>
      <w:proofErr w:type="spellEnd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 xml:space="preserve"> –Ακατάληκτα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 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(θ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.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ποιμην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ποιμεν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-) (θ. 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ἡγεμων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ἡγεμον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-) (θ. 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γειτων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γειτον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-)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tbl>
      <w:tblPr>
        <w:tblW w:w="7501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972"/>
        <w:gridCol w:w="1026"/>
        <w:gridCol w:w="1853"/>
        <w:gridCol w:w="1900"/>
        <w:gridCol w:w="1750"/>
      </w:tblGrid>
      <w:tr w:rsidR="005F1848" w:rsidRPr="005F1848" w:rsidTr="005F1848">
        <w:trPr>
          <w:trHeight w:val="2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Ενικός αριθμός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ποιμὴν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ἡγεμὼν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γείτων</w:t>
            </w:r>
            <w:proofErr w:type="spellEnd"/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ποιμὴν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ἡγεμὼν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γεῖτον</w:t>
            </w:r>
            <w:proofErr w:type="spellEnd"/>
          </w:p>
        </w:tc>
      </w:tr>
      <w:tr w:rsidR="005F1848" w:rsidRPr="005F1848" w:rsidTr="005F1848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Πληθυντικός αριθμός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γειτόν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</w:tr>
      <w:tr w:rsidR="005F1848" w:rsidRPr="005F1848" w:rsidTr="005F184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</w:tr>
      <w:tr w:rsidR="005F1848" w:rsidRPr="005F1848" w:rsidTr="005F1848">
        <w:trPr>
          <w:trHeight w:val="2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ποιμέν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ἡγεμόν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γείτον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</w:tbl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lastRenderedPageBreak/>
        <w:t> Υγρόληκτα (χαρακτ. λ, ρ)</w:t>
      </w:r>
    </w:p>
    <w:p w:rsidR="005F1848" w:rsidRPr="005F1848" w:rsidRDefault="005F1848" w:rsidP="005F1848">
      <w:pPr>
        <w:shd w:val="clear" w:color="auto" w:fill="FFFFFF"/>
        <w:spacing w:after="24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 </w:t>
      </w:r>
      <w:proofErr w:type="spellStart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Μονόθεμα</w:t>
      </w:r>
      <w:proofErr w:type="spellEnd"/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 xml:space="preserve"> -Ακατάληκτα</w:t>
      </w:r>
    </w:p>
    <w:tbl>
      <w:tblPr>
        <w:tblpPr w:leftFromText="180" w:rightFromText="180" w:vertAnchor="text"/>
        <w:tblW w:w="6925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827"/>
        <w:gridCol w:w="873"/>
        <w:gridCol w:w="1729"/>
        <w:gridCol w:w="1257"/>
        <w:gridCol w:w="386"/>
        <w:gridCol w:w="386"/>
        <w:gridCol w:w="1467"/>
      </w:tblGrid>
      <w:tr w:rsidR="005F1848" w:rsidRPr="005F1848" w:rsidTr="005F1848">
        <w:trPr>
          <w:trHeight w:val="2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Ενικός αριθμός</w:t>
            </w: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κλητὴρ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ἰχὼρ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νέκταρ</w:t>
            </w: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νέκταρ-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νέκταρ-ι</w:t>
            </w:r>
          </w:p>
        </w:tc>
      </w:tr>
      <w:tr w:rsidR="005F1848" w:rsidRPr="005F1848" w:rsidTr="005F1848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νέκταρ</w:t>
            </w: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κλητὴρ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ἰχὼρ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νέκταρ</w:t>
            </w:r>
          </w:p>
        </w:tc>
      </w:tr>
      <w:tr w:rsidR="005F1848" w:rsidRPr="005F1848" w:rsidTr="005F1848">
        <w:trPr>
          <w:trHeight w:val="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Πληθυντικός αριθμός</w:t>
            </w: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</w:tr>
      <w:tr w:rsidR="005F1848" w:rsidRPr="005F1848" w:rsidTr="005F1848">
        <w:trPr>
          <w:trHeight w:val="2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κλητήρ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ἰχώρ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</w:tr>
      <w:tr w:rsidR="005F1848" w:rsidRPr="005F1848" w:rsidTr="005F184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κλητῆρ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ἰχῶρ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</w:tr>
      <w:tr w:rsidR="005F1848" w:rsidRPr="005F1848" w:rsidTr="005F1848">
        <w:trPr>
          <w:trHeight w:val="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17"/>
                <w:lang w:eastAsia="el-GR"/>
              </w:rPr>
            </w:pPr>
          </w:p>
        </w:tc>
      </w:tr>
    </w:tbl>
    <w:p w:rsidR="005F1848" w:rsidRPr="005F1848" w:rsidRDefault="005F1848" w:rsidP="005F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  <w:r w:rsidRPr="005F1848">
        <w:rPr>
          <w:rFonts w:ascii="Arial" w:eastAsia="Times New Roman" w:hAnsi="Arial" w:cs="Arial"/>
          <w:color w:val="222222"/>
          <w:sz w:val="17"/>
          <w:szCs w:val="17"/>
          <w:lang w:eastAsia="el-GR"/>
        </w:rPr>
        <w:br/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                                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  <w:t>                                                            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tbl>
      <w:tblPr>
        <w:tblW w:w="7475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753"/>
        <w:gridCol w:w="682"/>
        <w:gridCol w:w="1145"/>
        <w:gridCol w:w="1261"/>
        <w:gridCol w:w="794"/>
        <w:gridCol w:w="1362"/>
        <w:gridCol w:w="1478"/>
      </w:tblGrid>
      <w:tr w:rsidR="005F1848" w:rsidRPr="005F1848" w:rsidTr="005F1848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Πληθυντικός αριθμός</w:t>
            </w:r>
          </w:p>
        </w:tc>
      </w:tr>
      <w:tr w:rsidR="005F1848" w:rsidRPr="005F1848" w:rsidTr="005F18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ἀθὴρ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ῥήτωρ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oἱ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  <w:tr w:rsidR="005F1848" w:rsidRPr="005F1848" w:rsidTr="005F18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</w:t>
            </w: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ος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ῥητόρ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-ων</w:t>
            </w:r>
          </w:p>
        </w:tc>
      </w:tr>
      <w:tr w:rsidR="005F1848" w:rsidRPr="005F1848" w:rsidTr="005F18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-σι(ν)</w:t>
            </w:r>
          </w:p>
        </w:tc>
      </w:tr>
      <w:tr w:rsidR="005F1848" w:rsidRPr="005F1848" w:rsidTr="005F184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-ας</w:t>
            </w:r>
          </w:p>
        </w:tc>
      </w:tr>
      <w:tr w:rsidR="005F1848" w:rsidRPr="005F1848" w:rsidTr="005F1848">
        <w:trPr>
          <w:trHeight w:val="3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color w:val="000000"/>
                <w:sz w:val="17"/>
                <w:szCs w:val="17"/>
                <w:lang w:eastAsia="el-GR"/>
              </w:rPr>
              <w:t>κλ.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ἀθὴρ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ῥῆτορ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(ὦ)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ἀθέρ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5F1848" w:rsidRPr="005F1848" w:rsidRDefault="005F1848" w:rsidP="005F18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7"/>
                <w:szCs w:val="17"/>
                <w:lang w:eastAsia="el-GR"/>
              </w:rPr>
            </w:pPr>
            <w:proofErr w:type="spellStart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ῥήτορ</w:t>
            </w:r>
            <w:proofErr w:type="spellEnd"/>
            <w:r w:rsidRPr="005F1848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el-GR"/>
              </w:rPr>
              <w:t>-ες</w:t>
            </w:r>
          </w:p>
        </w:tc>
      </w:tr>
    </w:tbl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</w:t>
      </w: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C00000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b/>
          <w:bCs/>
          <w:color w:val="C00000"/>
          <w:sz w:val="17"/>
          <w:szCs w:val="17"/>
          <w:lang w:eastAsia="el-GR"/>
        </w:rPr>
        <w:t xml:space="preserve">Παρατηρήσεις στα </w:t>
      </w:r>
      <w:proofErr w:type="spellStart"/>
      <w:r w:rsidRPr="005F1848">
        <w:rPr>
          <w:rFonts w:ascii="Arial" w:eastAsia="Times New Roman" w:hAnsi="Arial" w:cs="Arial"/>
          <w:b/>
          <w:bCs/>
          <w:color w:val="C00000"/>
          <w:sz w:val="17"/>
          <w:szCs w:val="17"/>
          <w:lang w:eastAsia="el-GR"/>
        </w:rPr>
        <w:t>ενρινόληκτα</w:t>
      </w:r>
      <w:proofErr w:type="spellEnd"/>
      <w:r w:rsidRPr="005F1848">
        <w:rPr>
          <w:rFonts w:ascii="Arial" w:eastAsia="Times New Roman" w:hAnsi="Arial" w:cs="Arial"/>
          <w:b/>
          <w:bCs/>
          <w:color w:val="C00000"/>
          <w:sz w:val="17"/>
          <w:szCs w:val="17"/>
          <w:lang w:eastAsia="el-GR"/>
        </w:rPr>
        <w:t xml:space="preserve"> και υγρόληκτα της </w:t>
      </w:r>
      <w:proofErr w:type="spellStart"/>
      <w:r w:rsidRPr="005F1848">
        <w:rPr>
          <w:rFonts w:ascii="Arial" w:eastAsia="Times New Roman" w:hAnsi="Arial" w:cs="Arial"/>
          <w:b/>
          <w:bCs/>
          <w:color w:val="C00000"/>
          <w:sz w:val="17"/>
          <w:szCs w:val="17"/>
          <w:lang w:eastAsia="el-GR"/>
        </w:rPr>
        <w:t>γ΄</w:t>
      </w:r>
      <w:proofErr w:type="spellEnd"/>
      <w:r w:rsidRPr="005F1848">
        <w:rPr>
          <w:rFonts w:ascii="Arial" w:eastAsia="Times New Roman" w:hAnsi="Arial" w:cs="Arial"/>
          <w:b/>
          <w:bCs/>
          <w:color w:val="C00000"/>
          <w:sz w:val="17"/>
          <w:szCs w:val="17"/>
          <w:lang w:eastAsia="el-GR"/>
        </w:rPr>
        <w:t xml:space="preserve"> κλίσης</w:t>
      </w:r>
    </w:p>
    <w:p w:rsidR="005F1848" w:rsidRPr="005F1848" w:rsidRDefault="005F1848" w:rsidP="005F184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Pr="005F1848" w:rsidRDefault="005F1848" w:rsidP="005F184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Τα φωνήεντα 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ι  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και 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α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εμπρός από το χαρακτήρα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ν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των ονομάτων σε –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ις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 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(γεν. 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ινος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 και -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αν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(γεν. 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ανος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 είναι μακρόχρονα: 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τῆς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ἀκτῖν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τῆς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Σαλαμῖν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τοῦ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Τιτᾶν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τοῦ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πελεκᾶν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.</w:t>
      </w:r>
    </w:p>
    <w:p w:rsidR="005F1848" w:rsidRPr="005F1848" w:rsidRDefault="005F1848" w:rsidP="005F1848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360" w:lineRule="auto"/>
        <w:ind w:hanging="360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2) </w:t>
      </w:r>
      <w:r>
        <w:rPr>
          <w:rFonts w:ascii="Arial" w:eastAsia="Times New Roman" w:hAnsi="Arial" w:cs="Arial"/>
          <w:color w:val="000000"/>
          <w:sz w:val="17"/>
          <w:szCs w:val="17"/>
          <w:lang w:eastAsia="el-GR"/>
        </w:rPr>
        <w:tab/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Τα </w:t>
      </w:r>
      <w:proofErr w:type="spellStart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ενρινόληκτα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 και υγρόληκτα της </w:t>
      </w:r>
      <w:proofErr w:type="spellStart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γ΄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 κλίσης σχηματίζουν κανονικά την κλητ. του ενικού όμοια με την ονομαστική του ενικού: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ἡ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ἀκτὶς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ἀκτίς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Τιτὰν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Τιτάν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Ἕλλην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Ἕλλην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ἡγεμὼν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ἡγεμών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ποιμὴν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ποιμήν·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ἰχὼρ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ἰχώρ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.</w:t>
      </w:r>
    </w:p>
    <w:p w:rsidR="005F1848" w:rsidRDefault="005F1848" w:rsidP="005F1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Αλλά τα βαρύτονα </w:t>
      </w:r>
      <w:proofErr w:type="spellStart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διπλόθεμα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 xml:space="preserve"> σε -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ων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(γεν. 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ονος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 και 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ωρ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(γεν. 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ορος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) σχηματίζουν την κλητ. του ενικού όμοια με το αδύνατο θέμα: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γείτων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γεῖτον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δαίμων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δαῖμον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Ἰάσων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Ἰᾶσον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ῥήτωρ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- ὦ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ῥῆτορ</w:t>
      </w:r>
      <w:proofErr w:type="spellEnd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</w:t>
      </w:r>
    </w:p>
    <w:p w:rsidR="005F1848" w:rsidRDefault="005F1848" w:rsidP="005F1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l-GR"/>
        </w:rPr>
      </w:pPr>
    </w:p>
    <w:p w:rsidR="005F1848" w:rsidRPr="005F1848" w:rsidRDefault="005F1848" w:rsidP="005F18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>
        <w:rPr>
          <w:rFonts w:ascii="Arial" w:eastAsia="Times New Roman" w:hAnsi="Arial" w:cs="Arial"/>
          <w:color w:val="222222"/>
          <w:sz w:val="17"/>
          <w:szCs w:val="17"/>
          <w:lang w:eastAsia="el-GR"/>
        </w:rPr>
        <w:t>3)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Ο χαρακτήρας 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λ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και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ρ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εμπρός από το σίγμα της κατάληξης παραμένει, ενώ ο χαρακτήρας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ν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 εμπρός από αυτό αποβάλλεται (χωρίς αντέκταση του προηγούμενου τυχόν βραχύχρονου φωνήεντος): 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ἅλ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-ς,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τοῖς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ἁλ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σί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, (ὁ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ῥήτωρ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)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τοῖς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ῥήτορ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-σι·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</w:t>
      </w:r>
      <w:proofErr w:type="spellStart"/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αλλά:</w:t>
      </w:r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(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ἀκτίν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-ς)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ἀκτίς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,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ταῖς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(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ἀκτῖν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-σι)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ἀκτῖσι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·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τοῖς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 (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ἡγεμόν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 xml:space="preserve">-σι) </w:t>
      </w:r>
      <w:proofErr w:type="spellStart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ἡγεμόσι</w:t>
      </w:r>
      <w:proofErr w:type="spellEnd"/>
      <w:r w:rsidRPr="005F1848">
        <w:rPr>
          <w:rFonts w:ascii="Arial" w:eastAsia="Times New Roman" w:hAnsi="Arial" w:cs="Arial"/>
          <w:i/>
          <w:iCs/>
          <w:color w:val="000000"/>
          <w:sz w:val="17"/>
          <w:szCs w:val="17"/>
          <w:lang w:eastAsia="el-GR"/>
        </w:rPr>
        <w:t>)</w:t>
      </w:r>
      <w:r w:rsidRPr="005F1848">
        <w:rPr>
          <w:rFonts w:ascii="Arial" w:eastAsia="Times New Roman" w:hAnsi="Arial" w:cs="Arial"/>
          <w:color w:val="000000"/>
          <w:sz w:val="17"/>
          <w:szCs w:val="17"/>
          <w:lang w:eastAsia="el-GR"/>
        </w:rPr>
        <w:t> </w:t>
      </w:r>
    </w:p>
    <w:p w:rsidR="001725FE" w:rsidRDefault="001725FE"/>
    <w:sectPr w:rsidR="001725FE" w:rsidSect="001725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2EF4"/>
    <w:multiLevelType w:val="hybridMultilevel"/>
    <w:tmpl w:val="324E5D3E"/>
    <w:lvl w:ilvl="0" w:tplc="CC72A512">
      <w:start w:val="1"/>
      <w:numFmt w:val="decimal"/>
      <w:lvlText w:val="%1)"/>
      <w:lvlJc w:val="left"/>
      <w:pPr>
        <w:ind w:left="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C362598"/>
    <w:multiLevelType w:val="hybridMultilevel"/>
    <w:tmpl w:val="E69A4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1848"/>
    <w:rsid w:val="001725FE"/>
    <w:rsid w:val="005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60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39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2020-11-18T15:37:00Z</dcterms:created>
  <dcterms:modified xsi:type="dcterms:W3CDTF">2020-11-18T15:44:00Z</dcterms:modified>
</cp:coreProperties>
</file>