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AE" w:rsidRPr="008B56AE" w:rsidRDefault="008B56AE" w:rsidP="008B56AE">
      <w:pPr>
        <w:pStyle w:val="a4"/>
      </w:pPr>
      <w:r w:rsidRPr="008B56AE">
        <w:t>Το υποκείμενο της μετοχής </w:t>
      </w:r>
    </w:p>
    <w:p w:rsidR="008B56AE" w:rsidRDefault="008B56AE" w:rsidP="008B56AE">
      <w:pPr>
        <w:pStyle w:val="ca23"/>
        <w:shd w:val="clear" w:color="auto" w:fill="FFFFFF"/>
        <w:spacing w:before="0" w:beforeAutospacing="0" w:after="0" w:afterAutospacing="0" w:line="347" w:lineRule="atLeast"/>
        <w:ind w:left="188" w:right="63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:rsidR="008B56AE" w:rsidRDefault="008B56AE" w:rsidP="008B56AE">
      <w:pPr>
        <w:pStyle w:val="ca23"/>
        <w:shd w:val="clear" w:color="auto" w:fill="FFFFFF"/>
        <w:spacing w:before="0" w:beforeAutospacing="0" w:after="0" w:afterAutospacing="0" w:line="347" w:lineRule="atLeast"/>
        <w:ind w:left="188" w:right="63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Το υποκείμενο μιας μετοχής βρίσκεται στο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γένος</w:t>
      </w:r>
      <w:r>
        <w:rPr>
          <w:rFonts w:ascii="Calibri" w:hAnsi="Calibri" w:cs="Calibri"/>
          <w:color w:val="000000"/>
          <w:sz w:val="32"/>
          <w:szCs w:val="32"/>
        </w:rPr>
        <w:t>, στον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αριθμό</w:t>
      </w:r>
      <w:r>
        <w:rPr>
          <w:rFonts w:ascii="Calibri" w:hAnsi="Calibri" w:cs="Calibri"/>
          <w:color w:val="000000"/>
          <w:sz w:val="32"/>
          <w:szCs w:val="32"/>
        </w:rPr>
        <w:t> και στην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ίδια πτώση</w:t>
      </w:r>
      <w:r>
        <w:rPr>
          <w:rFonts w:ascii="Calibri" w:hAnsi="Calibri" w:cs="Calibri"/>
          <w:color w:val="000000"/>
          <w:sz w:val="32"/>
          <w:szCs w:val="32"/>
        </w:rPr>
        <w:t> με τη μετοχή.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Από την άποψη του υποκειμένου της, μια επιρρηματική μετοχή μπορεί να είναι συνημμένη ή απόλυτη.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α.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Συνημμένη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έχει και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 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ταῦτα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πρὸς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μάχην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(η φράση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που είναι υποκείμενο της μετοχής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είναι και υποκείμενο του ρήματος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).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β.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Απόλυτη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δεν έχει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 Σε μια τέτοια περίπτωση, αν παραλείψουμε τη μετοχή, το υποκείμενό της περιττεύει στην πρόταση: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Ἐστράτευσαν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ἐπ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'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αὐτοὺς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οὐδεμιᾶς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πρότερον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 </w:t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ὑπαρχούσης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 (το υποκείμενο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της μετοχής δεν έχει καμία άλλη συντακτική θέση μέσα στην πρόταση).</w:t>
      </w:r>
    </w:p>
    <w:p w:rsidR="008B56AE" w:rsidRDefault="008B56AE" w:rsidP="008B56AE">
      <w:pPr>
        <w:pStyle w:val="ca23"/>
        <w:shd w:val="clear" w:color="auto" w:fill="FFFFFF"/>
        <w:spacing w:before="0" w:beforeAutospacing="0" w:after="0" w:afterAutospacing="0" w:line="347" w:lineRule="atLeast"/>
        <w:ind w:left="188" w:right="63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:rsidR="00EC1AD4" w:rsidRDefault="00EC1AD4"/>
    <w:sectPr w:rsidR="00EC1AD4" w:rsidSect="00EC1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56AE"/>
    <w:rsid w:val="008B56AE"/>
    <w:rsid w:val="00EC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">
    <w:name w:val="ca23"/>
    <w:basedOn w:val="a"/>
    <w:rsid w:val="008B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B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56AE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8B56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8B56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2021-01-14T09:39:00Z</dcterms:created>
  <dcterms:modified xsi:type="dcterms:W3CDTF">2021-01-14T09:40:00Z</dcterms:modified>
</cp:coreProperties>
</file>