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</w:pPr>
      <w:r w:rsidRPr="009C18F5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  <w:t>3</w:t>
      </w:r>
      <w:r w:rsidRPr="009C18F5">
        <w:rPr>
          <w:rFonts w:ascii="Calibri" w:eastAsia="Times New Roman" w:hAnsi="Calibri" w:cs="Calibri"/>
          <w:b/>
          <w:bCs/>
          <w:sz w:val="32"/>
          <w:szCs w:val="32"/>
          <w:u w:val="single"/>
          <w:vertAlign w:val="superscript"/>
          <w:lang w:eastAsia="el-GR"/>
        </w:rPr>
        <w:t>η</w:t>
      </w:r>
      <w:r w:rsidRPr="009C18F5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  <w:t xml:space="preserve"> ενότητα</w:t>
      </w: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</w:pP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1. Γ΄ κλίση ουσιαστικών </w:t>
      </w:r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 xml:space="preserve">α. Ακατάληκτα </w:t>
      </w: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>διπλόθεμα</w:t>
      </w:r>
      <w:proofErr w:type="spellEnd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 xml:space="preserve"> </w:t>
      </w: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>οδοντικόληκτα</w:t>
      </w:r>
      <w:proofErr w:type="spellEnd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 xml:space="preserve"> σε -ων (γεν. -</w:t>
      </w: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>οντος</w:t>
      </w:r>
      <w:proofErr w:type="spellEnd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yellow"/>
          <w:lang w:eastAsia="el-GR"/>
        </w:rPr>
        <w:t>)</w:t>
      </w:r>
      <w:r w:rsidRPr="009C18F5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</w:p>
    <w:p w:rsidR="009C18F5" w:rsidRPr="009C18F5" w:rsidRDefault="009C18F5" w:rsidP="00E673A2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(ύλη από την 14η εν. της Α' τάξης)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274"/>
        <w:gridCol w:w="3513"/>
      </w:tblGrid>
      <w:tr w:rsidR="009C18F5" w:rsidRPr="009C18F5" w:rsidTr="009C18F5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 αριθμός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Πληθυντικός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ονομ.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γεν.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δοτ.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αιτ.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κλητ.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ὁ γέρων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τοῦ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γέροντος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τῷ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γέροντι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τὸν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γέροντα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(ὦ)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γέρον</w:t>
            </w:r>
            <w:proofErr w:type="spellEnd"/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οἱ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γέροντες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τῶν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γερόντων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τοῖς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γέρουσι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γέροντ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-σι)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τοὺς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 γέροντας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(ὦ) γέροντες</w:t>
            </w:r>
          </w:p>
        </w:tc>
      </w:tr>
    </w:tbl>
    <w:p w:rsidR="009C18F5" w:rsidRPr="009C18F5" w:rsidRDefault="009C18F5" w:rsidP="00E673A2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  <w:r w:rsidRPr="009C18F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>Παρατηρήσεις</w:t>
      </w:r>
    </w:p>
    <w:p w:rsidR="009C18F5" w:rsidRPr="009C18F5" w:rsidRDefault="009C18F5" w:rsidP="009C18F5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• Η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 κλητική ενικού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σχηματίζεται 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χωρίς κατάληξη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από το ασθενές (βραχύ) θέμα. Το -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τ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- αποβάλλεται, επειδή στην Αρχαία Ελληνική ληκτικά σύμφωνα είναι μόνο τα -ν, -ρ, -ς.</w:t>
      </w:r>
    </w:p>
    <w:p w:rsidR="009C18F5" w:rsidRPr="009C18F5" w:rsidRDefault="009C18F5" w:rsidP="009C18F5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• Σύμφωνα με τα ουσιαστικά αυτά κλίνεται το 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αρσενικό γένος των μετοχών ενεστώτα του ρ. </w:t>
      </w:r>
      <w:proofErr w:type="spellStart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εἰμί</w:t>
      </w:r>
      <w:proofErr w:type="spellEnd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(</w:t>
      </w:r>
      <w:proofErr w:type="spellStart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ὤν</w:t>
      </w:r>
      <w:proofErr w:type="spellEnd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οὖσα</w:t>
      </w:r>
      <w:proofErr w:type="spellEnd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ὄν</w:t>
      </w:r>
      <w:proofErr w:type="spellEnd"/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 και των βαρύτονων ρημάτων ενεργητικής φωνής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(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λύων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λύουσα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λῦον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), καθώς και 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το αρσενικό γένος της μετοχής μέλλοντα των βαρύτονων ρημάτων ενεργητικής φωνής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(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λύσων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λύσουσα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λῦσον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).</w:t>
      </w:r>
    </w:p>
    <w:p w:rsidR="009C18F5" w:rsidRPr="009C18F5" w:rsidRDefault="009C18F5" w:rsidP="009C18F5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• Όμως οι 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μετοχές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σχηματίζουν</w:t>
      </w:r>
      <w:r w:rsidRPr="009C18F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 την κλητική ενικού όμοια με την ονομαστική 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(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ὤν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λύων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,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λύσων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). </w:t>
      </w:r>
    </w:p>
    <w:p w:rsidR="009C18F5" w:rsidRPr="009C18F5" w:rsidRDefault="009C18F5" w:rsidP="009C18F5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lastRenderedPageBreak/>
        <w:t> </w:t>
      </w: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b/>
          <w:bCs/>
          <w:sz w:val="32"/>
          <w:szCs w:val="32"/>
          <w:highlight w:val="magenta"/>
          <w:lang w:eastAsia="el-GR"/>
        </w:rPr>
        <w:t>Συμφωνόληκτα ουσιαστικά γ' κλίσης</w:t>
      </w:r>
      <w:r w:rsidRPr="009C18F5">
        <w:rPr>
          <w:rFonts w:ascii="Calibri" w:eastAsia="Times New Roman" w:hAnsi="Calibri" w:cs="Calibri"/>
          <w:sz w:val="32"/>
          <w:szCs w:val="32"/>
          <w:lang w:eastAsia="el-GR"/>
        </w:rPr>
        <w:t> </w:t>
      </w:r>
    </w:p>
    <w:p w:rsidR="009C18F5" w:rsidRPr="009C18F5" w:rsidRDefault="009C18F5" w:rsidP="009C18F5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9C18F5" w:rsidRPr="009C18F5" w:rsidRDefault="009C18F5" w:rsidP="009C18F5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Σε αυτή την Ενότητα ολοκληρώνεται η διδασκαλία των πιο συνηθισμένων συμφωνόληκτων ουσιαστικών της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γ΄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κλίσης.</w:t>
      </w:r>
    </w:p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magenta"/>
          <w:lang w:eastAsia="el-GR"/>
        </w:rPr>
        <w:t>Ημιφωνόληκτα</w:t>
      </w:r>
      <w:proofErr w:type="spellEnd"/>
    </w:p>
    <w:p w:rsidR="009C18F5" w:rsidRDefault="009C18F5" w:rsidP="009C18F5">
      <w:pPr>
        <w:shd w:val="clear" w:color="auto" w:fill="FFFFFF"/>
        <w:spacing w:after="0" w:line="338" w:lineRule="atLeast"/>
        <w:ind w:right="75"/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</w:pPr>
    </w:p>
    <w:p w:rsidR="009C18F5" w:rsidRPr="009C18F5" w:rsidRDefault="009C18F5" w:rsidP="009C18F5">
      <w:pPr>
        <w:shd w:val="clear" w:color="auto" w:fill="FFFFFF"/>
        <w:spacing w:after="0" w:line="338" w:lineRule="atLeast"/>
        <w:ind w:left="2160" w:right="75" w:firstLine="720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  <w:t>α. Υγρόληκτα</w:t>
      </w:r>
      <w:r w:rsidRPr="009C18F5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 </w:t>
      </w:r>
    </w:p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806"/>
        <w:gridCol w:w="1972"/>
      </w:tblGrid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jc w:val="center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μονόθεμα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διπλόθεμα</w:t>
            </w:r>
            <w:proofErr w:type="spellEnd"/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ὁ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τοῦ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τῷ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τὸν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σωτήρ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ι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σῶτερ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πράκτωρ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ι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πρᾶκτορ</w:t>
            </w:r>
            <w:proofErr w:type="spellEnd"/>
          </w:p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lastRenderedPageBreak/>
              <w:t>Πληθυντικός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οἱ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τῶν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τοῖς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τοὺς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σωτήρ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ων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σωτῆρ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πρακτόρ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ων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πράκτορ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</w:tr>
    </w:tbl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E673A2" w:rsidRDefault="00E673A2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</w:pPr>
    </w:p>
    <w:p w:rsid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  <w:t>Συγκοπτόμενα</w:t>
      </w:r>
      <w:proofErr w:type="spellEnd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  <w:t xml:space="preserve"> </w:t>
      </w: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  <w:t>διπλόθεμα</w:t>
      </w:r>
      <w:proofErr w:type="spellEnd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cyan"/>
          <w:lang w:eastAsia="el-GR"/>
        </w:rPr>
        <w:t xml:space="preserve"> υγρόληκτα</w:t>
      </w:r>
      <w:r w:rsidRPr="009C18F5">
        <w:rPr>
          <w:rFonts w:ascii="Calibri" w:eastAsia="Times New Roman" w:hAnsi="Calibri" w:cs="Calibri"/>
          <w:sz w:val="32"/>
          <w:szCs w:val="32"/>
          <w:lang w:eastAsia="el-GR"/>
        </w:rPr>
        <w:t> </w:t>
      </w: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879"/>
        <w:gridCol w:w="1686"/>
      </w:tblGrid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ὁ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τοῦ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τῷ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τὸν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πατὴρ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πατρ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ὸς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πατρ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ὶ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πάτερ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ἀνὴρ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ἀνδρ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ὸς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ἀνδρ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ὶ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ἄνδρ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ἄνερ</w:t>
            </w:r>
            <w:proofErr w:type="spellEnd"/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</w:pPr>
          </w:p>
          <w:p w:rsid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</w:pPr>
          </w:p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Πληθυντικός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lastRenderedPageBreak/>
              <w:t>οἱ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τῶν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τοῖς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τοὺς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ων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-ά-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ἄνδρ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ῶν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ἀνδρά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ἄνδρ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ἄνδρ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</w:tr>
    </w:tbl>
    <w:p w:rsidR="009C18F5" w:rsidRPr="009C18F5" w:rsidRDefault="009C18F5" w:rsidP="009C18F5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1628"/>
        <w:gridCol w:w="1771"/>
        <w:gridCol w:w="1918"/>
        <w:gridCol w:w="2091"/>
      </w:tblGrid>
      <w:tr w:rsidR="009C18F5" w:rsidRPr="009C18F5" w:rsidTr="009C18F5">
        <w:trPr>
          <w:jc w:val="center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</w:pPr>
          </w:p>
          <w:p w:rsid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</w:pPr>
          </w:p>
          <w:p w:rsid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</w:pPr>
          </w:p>
          <w:p w:rsidR="009C18F5" w:rsidRPr="009C18F5" w:rsidRDefault="009C18F5" w:rsidP="009C18F5">
            <w:pPr>
              <w:spacing w:after="0" w:line="416" w:lineRule="atLeast"/>
              <w:jc w:val="center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ἡ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τῆς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τῇ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τὴν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Δημήτηρ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Δήμητρ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Δήμητρ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ι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Δήμητρ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Δήμητερ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μήτηρ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μητρ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ὸς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μητρ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-ὶ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μητέρ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μήτερ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γαστὴρ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γαστρ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ὸς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γαστρ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-ὶ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γαστὴρ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θυγάτηρ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θυγατρὸς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θυγατρὶ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θύγατερ</w:t>
            </w:r>
            <w:proofErr w:type="spellEnd"/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lastRenderedPageBreak/>
              <w:t>Πληθυντικός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αἱ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τῶν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ταῖς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τὰς</w:t>
            </w:r>
            <w:proofErr w:type="spellEnd"/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μητέρ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μητέρ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ων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μητρ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ά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μητέρ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μητέρ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ων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ά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γαστέρ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ων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θυγατρ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ά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σι(ν)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ας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θυγατέρ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ες</w:t>
            </w:r>
          </w:p>
        </w:tc>
      </w:tr>
    </w:tbl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p w:rsidR="00E673A2" w:rsidRDefault="00E673A2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b/>
          <w:bCs/>
          <w:sz w:val="32"/>
          <w:szCs w:val="32"/>
          <w:highlight w:val="green"/>
          <w:lang w:eastAsia="el-GR"/>
        </w:rPr>
      </w:pP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b/>
          <w:bCs/>
          <w:sz w:val="32"/>
          <w:szCs w:val="32"/>
          <w:highlight w:val="green"/>
          <w:lang w:eastAsia="el-GR"/>
        </w:rPr>
        <w:t xml:space="preserve">β. </w:t>
      </w:r>
      <w:proofErr w:type="spellStart"/>
      <w:r w:rsidRPr="009C18F5">
        <w:rPr>
          <w:rFonts w:ascii="Calibri" w:eastAsia="Times New Roman" w:hAnsi="Calibri" w:cs="Calibri"/>
          <w:b/>
          <w:bCs/>
          <w:sz w:val="32"/>
          <w:szCs w:val="32"/>
          <w:highlight w:val="green"/>
          <w:lang w:eastAsia="el-GR"/>
        </w:rPr>
        <w:t>Σιγμόληκτα</w:t>
      </w:r>
      <w:proofErr w:type="spellEnd"/>
      <w:r w:rsidRPr="009C18F5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1. Αρσενικά</w:t>
      </w:r>
      <w:r w:rsidRPr="009C18F5">
        <w:rPr>
          <w:rFonts w:ascii="Calibri" w:eastAsia="Times New Roman" w:hAnsi="Calibri" w:cs="Calibri"/>
          <w:sz w:val="32"/>
          <w:szCs w:val="32"/>
          <w:lang w:eastAsia="el-GR"/>
        </w:rPr>
        <w:t> </w:t>
      </w:r>
    </w:p>
    <w:p w:rsidR="009C18F5" w:rsidRPr="009C18F5" w:rsidRDefault="009C18F5" w:rsidP="00E673A2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Πρόκειται για κύρια ονόματα σε -ης (γεν. -ους), όπως το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Ἀριστοφάνης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, και -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κλῆς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(γεν. -κλέους), όπως το 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Περικλῆς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</w:t>
      </w:r>
    </w:p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2146"/>
        <w:gridCol w:w="1644"/>
      </w:tblGrid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ὁ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τοῦ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τῷ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τὸν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Ἀριστοφάνης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Ἀριστοφάνους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Ἀριστοφάνει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Ἀριστοφάνη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Ἀριστόφανες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Περικλῆς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Περικλέους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Περικλεῖ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Περικλέα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Περίκλεις</w:t>
            </w:r>
            <w:proofErr w:type="spellEnd"/>
          </w:p>
        </w:tc>
      </w:tr>
    </w:tbl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lastRenderedPageBreak/>
        <w:t> </w:t>
      </w:r>
    </w:p>
    <w:p w:rsidR="009C18F5" w:rsidRPr="009C18F5" w:rsidRDefault="009C18F5" w:rsidP="009C18F5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b/>
          <w:bCs/>
          <w:sz w:val="32"/>
          <w:szCs w:val="32"/>
          <w:highlight w:val="green"/>
          <w:lang w:eastAsia="el-GR"/>
        </w:rPr>
        <w:t>2. Ουδέτερα ακατάληκτα</w:t>
      </w:r>
      <w:r w:rsidRPr="009C18F5">
        <w:rPr>
          <w:rFonts w:ascii="Calibri" w:eastAsia="Times New Roman" w:hAnsi="Calibri" w:cs="Calibri"/>
          <w:sz w:val="32"/>
          <w:szCs w:val="32"/>
          <w:lang w:eastAsia="el-GR"/>
        </w:rPr>
        <w:t> </w:t>
      </w:r>
    </w:p>
    <w:p w:rsidR="009C18F5" w:rsidRPr="009C18F5" w:rsidRDefault="009C18F5" w:rsidP="009C18F5">
      <w:pPr>
        <w:shd w:val="clear" w:color="auto" w:fill="FFFFFF"/>
        <w:tabs>
          <w:tab w:val="left" w:pos="1200"/>
        </w:tabs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  <w:r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ab/>
      </w:r>
    </w:p>
    <w:p w:rsidR="009C18F5" w:rsidRPr="009C18F5" w:rsidRDefault="009C18F5" w:rsidP="009C18F5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Στα ουσιαστικά αυτά το αρχικό θέμα (σε -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εσ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) στην ονομαστική, αιτιατική και κλητική ενικού μετατρέπεται σε -</w:t>
      </w:r>
      <w:proofErr w:type="spellStart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ος</w:t>
      </w:r>
      <w:proofErr w:type="spellEnd"/>
      <w:r w:rsidRPr="009C18F5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. Σε όλες τις άλλες πτώσεις αποβάλλεται το -σ- και επέρχονται συναιρέσεις.</w:t>
      </w:r>
    </w:p>
    <w:p w:rsidR="009C18F5" w:rsidRPr="009C18F5" w:rsidRDefault="009C18F5" w:rsidP="009C18F5">
      <w:pPr>
        <w:shd w:val="clear" w:color="auto" w:fill="FFFFFF"/>
        <w:spacing w:after="0" w:line="338" w:lineRule="atLeast"/>
        <w:ind w:left="75"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9C18F5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1758"/>
        <w:gridCol w:w="2045"/>
      </w:tblGrid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τὸ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τοῦ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τῷ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τὸ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ἔδαφος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ἐδάφους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ἐδάφει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ἔδαφος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ἔδαφος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ος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-ι)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Πληθυντικός αριθμός</w:t>
            </w:r>
          </w:p>
        </w:tc>
      </w:tr>
      <w:tr w:rsidR="009C18F5" w:rsidRPr="009C18F5" w:rsidTr="009C18F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τὰ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τῶν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τοῖς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τὰ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ἐδάφη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ἐδαφῶν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ἐδάφεσι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(ν) 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ἐδάφη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9C18F5" w:rsidRPr="009C18F5" w:rsidRDefault="009C18F5" w:rsidP="009C18F5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-α)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ἐδαφέσ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-ων)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-σι)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-α)</w:t>
            </w:r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 xml:space="preserve">(&lt; </w:t>
            </w:r>
            <w:proofErr w:type="spellStart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ἐδάφεσ</w:t>
            </w:r>
            <w:proofErr w:type="spellEnd"/>
            <w:r w:rsidRPr="009C18F5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-α)</w:t>
            </w:r>
          </w:p>
        </w:tc>
      </w:tr>
    </w:tbl>
    <w:p w:rsidR="006F34FF" w:rsidRPr="009C18F5" w:rsidRDefault="006F34FF" w:rsidP="009C18F5">
      <w:pPr>
        <w:shd w:val="clear" w:color="auto" w:fill="FFFFFF"/>
        <w:spacing w:after="0" w:line="338" w:lineRule="atLeast"/>
        <w:ind w:right="75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</w:p>
    <w:sectPr w:rsidR="006F34FF" w:rsidRPr="009C18F5" w:rsidSect="009C18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18F5"/>
    <w:rsid w:val="006F34FF"/>
    <w:rsid w:val="009C18F5"/>
    <w:rsid w:val="00E6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9C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9C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3">
    <w:name w:val="ca13"/>
    <w:basedOn w:val="a"/>
    <w:rsid w:val="009C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C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2020-12-08T19:28:00Z</dcterms:created>
  <dcterms:modified xsi:type="dcterms:W3CDTF">2020-12-08T19:43:00Z</dcterms:modified>
</cp:coreProperties>
</file>