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6D1D11" w:rsidRPr="002C1192" w:rsidRDefault="006D1D11" w:rsidP="006D1D1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36"/>
          <w:szCs w:val="36"/>
          <w:bdr w:val="none" w:sz="0" w:space="0" w:color="auto" w:frame="1"/>
          <w:lang w:val="en-US" w:eastAsia="el-GR"/>
        </w:rPr>
        <w:t>II</w:t>
      </w: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36"/>
          <w:szCs w:val="36"/>
          <w:bdr w:val="none" w:sz="0" w:space="0" w:color="auto" w:frame="1"/>
          <w:lang w:eastAsia="el-GR"/>
        </w:rPr>
        <w:t>. ΕΞΩΤΕΡΙΚΑ ΠΡΟΒΛΗΜΑΤΑ ΚΑΙ ΑΝΑΔΙΟΡΓΑΝΩΣΗ ΤΟΥ ΚΡΑΤΟΥΣ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1. Ο ΙΟΥΣΤΙΝΙΑΝΟΣ ΚΑΙ ΤΟ ΕΡΓΟ ΤΟΥ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α. Η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πολιτική του Ιουστινιανού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 συνοψίζεται στο : ένα κράτος, μια Εκκλησία, μια νομοθεσία.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β.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Εσωτερική πολιτική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: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Ως προς το Κράτος: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▶ Στάση του Νίκα (532)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: καταστολή της εξέγερσης των δήμων του Ιπποδρόμου και του λαού της Κωνσταντινούπολης.</w:t>
      </w: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▶ 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Περιορισμός της δύναμης των γαιοκτημόνων και των δήμων προς όφελος των ελεύθερων αγροτών, που πληρώνουν φόρους.</w:t>
      </w: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Ως προς την Εκκλησία: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▶ 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Καταδιώκονται αιρετικοί και εθνικοί (ειδωλολάτρες).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▶ 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Κλείνει η Νεοπλατωνική Ακαδημία στην Αθήνα (529)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▶ 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Ιεραποστολική διάδοση του Χριστιανισμού σε Καύκασο και Ανατολική Αφρική.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Ως προς τη Νομοθεσία, εκδίδονται: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▶ 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Ιουστινιάνειος Κώδικας (συλλογή παλαιότερων αυτοκρατορικών  νόμων)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▶ 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Πανδέκτης (γνωμοδοτήσεις ρωμαίων νομικών)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▶ 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Εισηγήσεις: εγχειρίδιο για τους φοιτητές της Νομικής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▶ 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Νεαρές: νέοι νόμοι, γραμμένοι στα Ελληνικά (καινοτομία)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lastRenderedPageBreak/>
        <w:t>γ. Εξωτερική πολιτική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▶ Στη Δύση στοχεύει στην ανόρθωση της ρωμαϊκής εξουσίας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Καταλύει το Βανδαλικό κράτος στη Βόρεια Αφρική.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6D1D11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Πολεμά σκληρά κατά των Οστρογότθων στην Ιταλία</w:t>
      </w:r>
      <w:r w:rsidRPr="006D1D11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Ανακαταλαμβάνει τμήμα του Βησιγοτθικού Βασιλείου στην Ισπανία</w:t>
      </w:r>
      <w:r w:rsidRPr="006D1D11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▶ Στην Ανατολή στοχεύει στην επανάκτηση Βυζαντινών εδαφών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6D1D11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Πόλεμος κατά του Χοσρόη Α’, βασιλιά των Περσών</w:t>
      </w:r>
      <w:r w:rsidRPr="006D1D11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Συνθηκολόγηση το 562 (αποκατάσταση ισορροπίας)</w:t>
      </w:r>
      <w:r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val="en-US" w:eastAsia="el-GR"/>
        </w:rPr>
        <w:t>.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▶ Στο Δούναβη για να αποκρούσει εισβολές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Χτίζει φρούρια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Εξαγοράζει την ειρήνη με τεράστια ποσά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Δεν καταφέρνει όμως να αναχαιτίσει τους Σλάβους και άλλους εισβολείς.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▶ Συνέπειες της εξωτερικής του πολιτικής: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Άδειασαν τα κρατικά ταμεία’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Απογυμνώθηκαν οι ευρωπαϊκές επαρχίες από στρατό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6D1D11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Εξασθένισε η διεθνής θέση του Βυζαντίου</w:t>
      </w:r>
      <w:r w:rsidRPr="006D1D11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lastRenderedPageBreak/>
        <w:t>- Ολέθριες επιπτώσεις στην εδαφική ακεραιότητα του κράτους, αργότερα.</w:t>
      </w: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δ. Κτίσματα του Ιουστινιανού – Αγία Σοφία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▶ 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 Κατασκευάστηκαν έργα χρήσιμα στην άμυνα, τη θρησκεία, την υποδομή και την κοινή ωφέλεια</w:t>
      </w:r>
      <w:r w:rsidRPr="006D1D11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▶ Η Αγία του Θεού Σοφία</w:t>
      </w: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Το λαμπρότερο κτίσμα της Βυζαντινής τέχνης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Βασιλική μετά τρούλου (συνδυασμός βασιλικής και περίκεντρου κτιρίου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Αρχιτέκτονες: ο Ανθέμιος (από Τράλλεις) και ο Ισίδωρος (από Μίλητο)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Η κατασκευή διαρκεί πέντε χρόνια (532-537)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Δίνεται έμφαση στον καθ’ ύψος άξονα.</w:t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6D1D11" w:rsidRPr="002C1192" w:rsidRDefault="006D1D11" w:rsidP="006D1D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EC48D9" w:rsidRDefault="00E442C9">
      <w:r>
        <w:rPr>
          <w:noProof/>
          <w:lang w:eastAsia="el-GR"/>
        </w:rPr>
        <w:drawing>
          <wp:inline distT="0" distB="0" distL="0" distR="0">
            <wp:extent cx="5181600" cy="2333625"/>
            <wp:effectExtent l="19050" t="0" r="0" b="0"/>
            <wp:docPr id="1" name="Εικόνα 1" descr="Το Μπλε Τζαμί, Ισταμπούλ, Τουρκία. — Φωτογραφία Αρχε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Μπλε Τζαμί, Ισταμπούλ, Τουρκία. — Φωτογραφία Αρχείο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785" cy="233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48D9" w:rsidSect="006D1D11">
      <w:headerReference w:type="default" r:id="rId7"/>
      <w:pgSz w:w="11906" w:h="16838"/>
      <w:pgMar w:top="1440" w:right="1800" w:bottom="1440" w:left="180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F54" w:rsidRDefault="00F01F54" w:rsidP="006D1D11">
      <w:pPr>
        <w:spacing w:after="0" w:line="240" w:lineRule="auto"/>
      </w:pPr>
      <w:r>
        <w:separator/>
      </w:r>
    </w:p>
  </w:endnote>
  <w:endnote w:type="continuationSeparator" w:id="1">
    <w:p w:rsidR="00F01F54" w:rsidRDefault="00F01F54" w:rsidP="006D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F54" w:rsidRDefault="00F01F54" w:rsidP="006D1D11">
      <w:pPr>
        <w:spacing w:after="0" w:line="240" w:lineRule="auto"/>
      </w:pPr>
      <w:r>
        <w:separator/>
      </w:r>
    </w:p>
  </w:footnote>
  <w:footnote w:type="continuationSeparator" w:id="1">
    <w:p w:rsidR="00F01F54" w:rsidRDefault="00F01F54" w:rsidP="006D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975829"/>
      <w:docPartObj>
        <w:docPartGallery w:val="Page Numbers (Margins)"/>
        <w:docPartUnique/>
      </w:docPartObj>
    </w:sdtPr>
    <w:sdtContent>
      <w:p w:rsidR="006D1D11" w:rsidRDefault="006D1D11">
        <w:pPr>
          <w:pStyle w:val="a3"/>
        </w:pPr>
        <w:r>
          <w:rPr>
            <w:noProof/>
            <w:lang w:eastAsia="zh-TW"/>
          </w:rPr>
          <w:pict>
            <v:rect id="_x0000_s1025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295136828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6D1D11" w:rsidRDefault="006D1D11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E442C9" w:rsidRPr="00E442C9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2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3074">
      <o:colormenu v:ext="edit" fillcolor="none [3214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1D11"/>
    <w:rsid w:val="006D1D11"/>
    <w:rsid w:val="00E442C9"/>
    <w:rsid w:val="00EC48D9"/>
    <w:rsid w:val="00F0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4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D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D1D11"/>
  </w:style>
  <w:style w:type="paragraph" w:styleId="a4">
    <w:name w:val="footer"/>
    <w:basedOn w:val="a"/>
    <w:link w:val="Char0"/>
    <w:uiPriority w:val="99"/>
    <w:semiHidden/>
    <w:unhideWhenUsed/>
    <w:rsid w:val="006D1D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D1D11"/>
  </w:style>
  <w:style w:type="paragraph" w:styleId="a5">
    <w:name w:val="Balloon Text"/>
    <w:basedOn w:val="a"/>
    <w:link w:val="Char1"/>
    <w:uiPriority w:val="99"/>
    <w:semiHidden/>
    <w:unhideWhenUsed/>
    <w:rsid w:val="00E4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44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345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lampros1234</dc:creator>
  <cp:lastModifiedBy>lampros1234</cp:lastModifiedBy>
  <cp:revision>2</cp:revision>
  <dcterms:created xsi:type="dcterms:W3CDTF">2020-10-13T14:41:00Z</dcterms:created>
  <dcterms:modified xsi:type="dcterms:W3CDTF">2020-10-13T14:46:00Z</dcterms:modified>
</cp:coreProperties>
</file>