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9E" w:rsidRDefault="00EA069E" w:rsidP="00EA069E">
      <w:pPr>
        <w:spacing w:before="150" w:after="150" w:line="336" w:lineRule="atLeast"/>
        <w:textAlignment w:val="baseline"/>
        <w:outlineLvl w:val="1"/>
        <w:rPr>
          <w:rFonts w:ascii="Oswald" w:eastAsia="Times New Roman" w:hAnsi="Oswald" w:cs="Times New Roman"/>
          <w:b/>
          <w:bCs/>
          <w:color w:val="CE2121"/>
          <w:sz w:val="42"/>
          <w:szCs w:val="42"/>
        </w:rPr>
      </w:pPr>
      <w:r w:rsidRPr="00EA069E">
        <w:rPr>
          <w:rFonts w:ascii="Oswald" w:eastAsia="Times New Roman" w:hAnsi="Oswald" w:cs="Times New Roman"/>
          <w:b/>
          <w:bCs/>
          <w:color w:val="CE2121"/>
          <w:sz w:val="42"/>
          <w:szCs w:val="42"/>
          <w:lang w:val="el-GR"/>
        </w:rPr>
        <w:t>Οι χρόνοι των ρημάτων, η χρονική βαθμίδα και το ποιόν ενέργειας στα νέα ελληνικά</w:t>
      </w:r>
    </w:p>
    <w:p w:rsidR="00EA069E" w:rsidRPr="00EA069E" w:rsidRDefault="00EA069E" w:rsidP="00EA069E">
      <w:pPr>
        <w:spacing w:before="150" w:after="150" w:line="336" w:lineRule="atLeast"/>
        <w:textAlignment w:val="baseline"/>
        <w:outlineLvl w:val="1"/>
        <w:rPr>
          <w:rFonts w:ascii="Oswald" w:eastAsia="Times New Roman" w:hAnsi="Oswald" w:cs="Times New Roman"/>
          <w:b/>
          <w:bCs/>
          <w:color w:val="CE2121"/>
          <w:sz w:val="42"/>
          <w:szCs w:val="42"/>
        </w:rPr>
      </w:pPr>
    </w:p>
    <w:p w:rsidR="00EA069E" w:rsidRPr="00EA069E" w:rsidRDefault="00EA069E" w:rsidP="00EA06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t>ΧΡΟΝΟΙ ΡΗΜΑΤΩΝ</w:t>
      </w:r>
    </w:p>
    <w:p w:rsidR="00EA069E" w:rsidRPr="00EA069E" w:rsidRDefault="00EA069E" w:rsidP="00EA06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br/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proofErr w:type="gramStart"/>
      <w:r w:rsidRPr="00EA069E">
        <w:rPr>
          <w:rFonts w:ascii="MS Gothic" w:eastAsia="MS Gothic" w:hAnsi="MS Gothic" w:cs="MS Gothic" w:hint="eastAsia"/>
          <w:color w:val="393939"/>
          <w:sz w:val="24"/>
          <w:szCs w:val="24"/>
          <w:bdr w:val="none" w:sz="0" w:space="0" w:color="auto" w:frame="1"/>
          <w:lang w:val="el-GR"/>
        </w:rPr>
        <w:t>❏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 xml:space="preserve"> Χρόνος ονομάζεται η τοποθέτηση ενός γεγονότος, μιας ενέργειας ή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μιας κατάστασης σε ένα σημείο του χρονικού άξονα (παρελθόν, παρόν,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μέλλον).</w:t>
      </w:r>
      <w:proofErr w:type="gramEnd"/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 xml:space="preserve"> Δηλαδή,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t>ο χρόνος κατ' αρχάς φανερώνει πότε έγινε αυτό που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t>σημαίνει το ρήμα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.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br/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MS Gothic" w:eastAsia="MS Gothic" w:hAnsi="MS Gothic" w:cs="MS Gothic" w:hint="eastAsia"/>
          <w:color w:val="393939"/>
          <w:sz w:val="24"/>
          <w:szCs w:val="24"/>
          <w:bdr w:val="none" w:sz="0" w:space="0" w:color="auto" w:frame="1"/>
          <w:lang w:val="el-GR"/>
        </w:rPr>
        <w:t>✔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 xml:space="preserve"> Στην ελληνική γλώσσα υπάρχουν οχτώ χρόνοι: ενεστώτας, παρατατικός, μέλλοντας εξακολουθητικός, μέλλοντας συνοπτικός, αόριστος, παρακείμενος, υπερσυντέλικος, μέλλοντας συντελεσμένος.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EA069E">
        <w:rPr>
          <w:rFonts w:ascii="Tahoma" w:eastAsia="Times New Roman" w:hAnsi="Tahoma" w:cs="Tahoma"/>
          <w:color w:val="393939"/>
          <w:sz w:val="20"/>
          <w:szCs w:val="20"/>
          <w:bdr w:val="none" w:sz="0" w:space="0" w:color="auto" w:frame="1"/>
          <w:lang w:val="el-GR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3242"/>
      </w:tblGrid>
      <w:tr w:rsidR="00EA069E" w:rsidRPr="00EA069E" w:rsidTr="00EA069E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E5A0"/>
            <w:vAlign w:val="bottom"/>
            <w:hideMark/>
          </w:tcPr>
          <w:p w:rsidR="00EA069E" w:rsidRPr="00EA069E" w:rsidRDefault="00EA069E" w:rsidP="00EA06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</w:rPr>
              <w:t>τύ</w:t>
            </w:r>
            <w:proofErr w:type="spellEnd"/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</w:rPr>
              <w:t>πος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E5A0"/>
            <w:vAlign w:val="bottom"/>
            <w:hideMark/>
          </w:tcPr>
          <w:p w:rsidR="00EA069E" w:rsidRPr="00EA069E" w:rsidRDefault="00EA069E" w:rsidP="00EA06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χρόνος</w:t>
            </w:r>
            <w:proofErr w:type="spellEnd"/>
          </w:p>
        </w:tc>
      </w:tr>
      <w:tr w:rsidR="00EA069E" w:rsidRPr="00EA069E" w:rsidTr="00EA069E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99"/>
            <w:vAlign w:val="bottom"/>
            <w:hideMark/>
          </w:tcPr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  <w:lang w:val="el-GR"/>
              </w:rPr>
              <w:t>τρέχω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  <w:lang w:val="el-GR"/>
              </w:rPr>
              <w:t>έτρεχα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  <w:lang w:val="el-GR"/>
              </w:rPr>
              <w:t>θα τρέχω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  <w:lang w:val="el-GR"/>
              </w:rPr>
              <w:t>έτρεξα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  <w:lang w:val="el-GR"/>
              </w:rPr>
              <w:t>θα τρέξω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  <w:lang w:val="el-GR"/>
              </w:rPr>
              <w:t>έχω τρέξει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  <w:lang w:val="el-GR"/>
              </w:rPr>
              <w:t>είχα</w:t>
            </w:r>
            <w:r w:rsidRPr="00EA069E">
              <w:rPr>
                <w:rFonts w:ascii="inherit" w:eastAsia="Times New Roman" w:hAnsi="inherit" w:cs="Calibri"/>
                <w:color w:val="393939"/>
                <w:sz w:val="27"/>
                <w:szCs w:val="27"/>
                <w:bdr w:val="none" w:sz="0" w:space="0" w:color="auto" w:frame="1"/>
              </w:rPr>
              <w:t> </w:t>
            </w: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  <w:lang w:val="el-GR"/>
              </w:rPr>
              <w:t>τρέξει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  <w:lang w:val="el-GR"/>
              </w:rPr>
              <w:t>θα έχω τρέξει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99"/>
            <w:vAlign w:val="bottom"/>
            <w:hideMark/>
          </w:tcPr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  <w:lang w:val="el-GR"/>
              </w:rPr>
              <w:t>ενεστώτας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  <w:lang w:val="el-GR"/>
              </w:rPr>
              <w:t>παρατατικός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  <w:lang w:val="el-GR"/>
              </w:rPr>
              <w:t>εξακολουθητικός μέλλοντας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  <w:lang w:val="el-GR"/>
              </w:rPr>
              <w:t>αόριστος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  <w:lang w:val="el-GR"/>
              </w:rPr>
              <w:t>στιγμιαίος μέλλοντας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παρα</w:t>
            </w: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κείμενος</w:t>
            </w:r>
            <w:proofErr w:type="spellEnd"/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υπ</w:t>
            </w: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ερσυντέλικος</w:t>
            </w:r>
            <w:proofErr w:type="spellEnd"/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συντελεσμένος</w:t>
            </w:r>
            <w:proofErr w:type="spellEnd"/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μέλλοντ</w:t>
            </w:r>
            <w:proofErr w:type="spellEnd"/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ας</w:t>
            </w:r>
          </w:p>
        </w:tc>
      </w:tr>
    </w:tbl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</w:rPr>
      </w:pPr>
      <w:r w:rsidRPr="00EA069E">
        <w:rPr>
          <w:rFonts w:ascii="Tahoma" w:eastAsia="Times New Roman" w:hAnsi="Tahoma" w:cs="Tahoma"/>
          <w:color w:val="393939"/>
          <w:sz w:val="20"/>
          <w:szCs w:val="20"/>
          <w:bdr w:val="none" w:sz="0" w:space="0" w:color="auto" w:frame="1"/>
        </w:rPr>
        <w:br/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sz w:val="20"/>
          <w:szCs w:val="20"/>
        </w:rPr>
      </w:pPr>
      <w:r w:rsidRPr="00EA069E">
        <w:rPr>
          <w:rFonts w:ascii="inherit" w:eastAsia="Times New Roman" w:hAnsi="inherit" w:cs="Tahoma"/>
          <w:b/>
          <w:bCs/>
          <w:color w:val="393939"/>
          <w:sz w:val="20"/>
          <w:szCs w:val="20"/>
          <w:bdr w:val="none" w:sz="0" w:space="0" w:color="auto" w:frame="1"/>
        </w:rPr>
        <w:br/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</w:rPr>
        <w:t>ΧΡΟΝΙΚΗ ΒΑΘΜΙΔΑ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</w:rPr>
        <w:br/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t>Κατηγορίες χρόνων ανάλογα με την χρονική βαθμίδα τους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br/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MS Gothic" w:eastAsia="MS Gothic" w:hAnsi="MS Gothic" w:cs="MS Gothic" w:hint="eastAsia"/>
          <w:color w:val="393939"/>
          <w:sz w:val="24"/>
          <w:szCs w:val="24"/>
          <w:bdr w:val="none" w:sz="0" w:space="0" w:color="auto" w:frame="1"/>
          <w:lang w:val="el-GR"/>
        </w:rPr>
        <w:t>✔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 xml:space="preserve"> Οι χρόνοι μπορούν να χωριστούν σε τρεις ομάδες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t>ανάλογα με τη χρονική βαθμίδα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(παρελθόν, παρόν, μέλλον) στην οποία τοποθετούνται: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α. παρελθοντικοί: παρατατικός, αόριστος, παρακείμενος, υπερσυντέλικος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β. παροντικοί: ενεστώτας, παρακείμενος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γ. μελλοντικοί: εξακολουθητικός μέλλοντας, συνοπτικός μέλλοντας, συντελεσμένος μέλλοντας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EA069E">
        <w:rPr>
          <w:rFonts w:ascii="Tahoma" w:eastAsia="Times New Roman" w:hAnsi="Tahoma" w:cs="Tahoma"/>
          <w:color w:val="393939"/>
          <w:sz w:val="20"/>
          <w:szCs w:val="20"/>
          <w:bdr w:val="none" w:sz="0" w:space="0" w:color="auto" w:frame="1"/>
          <w:lang w:val="el-GR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596"/>
        <w:gridCol w:w="3242"/>
      </w:tblGrid>
      <w:tr w:rsidR="00EA069E" w:rsidRPr="00EA069E" w:rsidTr="00EA069E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E5A0"/>
            <w:vAlign w:val="bottom"/>
            <w:hideMark/>
          </w:tcPr>
          <w:p w:rsidR="00EA069E" w:rsidRPr="00EA069E" w:rsidRDefault="00EA069E" w:rsidP="00EA06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</w:rPr>
              <w:lastRenderedPageBreak/>
              <w:t>πα</w:t>
            </w: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</w:rPr>
              <w:t>ρελθοντικοί</w:t>
            </w:r>
            <w:proofErr w:type="spellEnd"/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E5A0"/>
            <w:vAlign w:val="bottom"/>
            <w:hideMark/>
          </w:tcPr>
          <w:p w:rsidR="00EA069E" w:rsidRPr="00EA069E" w:rsidRDefault="00EA069E" w:rsidP="00EA06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πα</w:t>
            </w: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ροντικοί</w:t>
            </w:r>
            <w:proofErr w:type="spellEnd"/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E5A0"/>
            <w:vAlign w:val="bottom"/>
            <w:hideMark/>
          </w:tcPr>
          <w:p w:rsidR="00EA069E" w:rsidRPr="00EA069E" w:rsidRDefault="00EA069E" w:rsidP="00EA06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FF0000"/>
                <w:sz w:val="27"/>
                <w:szCs w:val="27"/>
                <w:bdr w:val="none" w:sz="0" w:space="0" w:color="auto" w:frame="1"/>
              </w:rPr>
              <w:t>μελλοντικοί</w:t>
            </w:r>
            <w:proofErr w:type="spellEnd"/>
          </w:p>
        </w:tc>
      </w:tr>
      <w:tr w:rsidR="00EA069E" w:rsidRPr="00EA069E" w:rsidTr="00EA069E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99"/>
            <w:vAlign w:val="bottom"/>
            <w:hideMark/>
          </w:tcPr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</w:rPr>
              <w:t>παρατα</w:t>
            </w: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</w:rPr>
              <w:t>τικός</w:t>
            </w:r>
            <w:proofErr w:type="spellEnd"/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</w:rPr>
              <w:t>α</w:t>
            </w: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</w:rPr>
              <w:t>όριστος</w:t>
            </w:r>
            <w:proofErr w:type="spellEnd"/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</w:rPr>
              <w:t>υπ</w:t>
            </w: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393939"/>
                <w:sz w:val="27"/>
                <w:szCs w:val="27"/>
                <w:bdr w:val="none" w:sz="0" w:space="0" w:color="auto" w:frame="1"/>
              </w:rPr>
              <w:t>ερσυντέλικος</w:t>
            </w:r>
            <w:proofErr w:type="spellEnd"/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99"/>
            <w:vAlign w:val="bottom"/>
            <w:hideMark/>
          </w:tcPr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ενεστώτ</w:t>
            </w:r>
            <w:proofErr w:type="spellEnd"/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ας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παρα</w:t>
            </w:r>
            <w:proofErr w:type="spellStart"/>
            <w:r w:rsidRPr="00EA069E">
              <w:rPr>
                <w:rFonts w:ascii="inherit" w:eastAsia="Times New Roman" w:hAnsi="inherit" w:cs="Calibri"/>
                <w:b/>
                <w:bCs/>
                <w:color w:val="0000FF"/>
                <w:sz w:val="27"/>
                <w:szCs w:val="27"/>
                <w:bdr w:val="none" w:sz="0" w:space="0" w:color="auto" w:frame="1"/>
              </w:rPr>
              <w:t>κείμενος</w:t>
            </w:r>
            <w:proofErr w:type="spellEnd"/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99"/>
            <w:vAlign w:val="bottom"/>
            <w:hideMark/>
          </w:tcPr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FF0000"/>
                <w:sz w:val="27"/>
                <w:szCs w:val="27"/>
                <w:bdr w:val="none" w:sz="0" w:space="0" w:color="auto" w:frame="1"/>
                <w:lang w:val="el-GR"/>
              </w:rPr>
              <w:t>εξακολουθητικός μέλλοντας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FF0000"/>
                <w:sz w:val="27"/>
                <w:szCs w:val="27"/>
                <w:bdr w:val="none" w:sz="0" w:space="0" w:color="auto" w:frame="1"/>
                <w:lang w:val="el-GR"/>
              </w:rPr>
              <w:t>στιγμιαίος μέλλοντας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  <w:r w:rsidRPr="00EA069E">
              <w:rPr>
                <w:rFonts w:ascii="inherit" w:eastAsia="Times New Roman" w:hAnsi="inherit" w:cs="Calibri"/>
                <w:b/>
                <w:bCs/>
                <w:color w:val="FF0000"/>
                <w:sz w:val="27"/>
                <w:szCs w:val="27"/>
                <w:bdr w:val="none" w:sz="0" w:space="0" w:color="auto" w:frame="1"/>
                <w:lang w:val="el-GR"/>
              </w:rPr>
              <w:t>συντελεσμένος μέλλοντας</w:t>
            </w:r>
          </w:p>
          <w:p w:rsidR="00EA069E" w:rsidRPr="00EA069E" w:rsidRDefault="00EA069E" w:rsidP="00EA06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93939"/>
                <w:sz w:val="20"/>
                <w:szCs w:val="20"/>
                <w:lang w:val="el-GR"/>
              </w:rPr>
            </w:pPr>
          </w:p>
        </w:tc>
      </w:tr>
    </w:tbl>
    <w:p w:rsid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</w:rPr>
      </w:pP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</w:rPr>
      </w:pP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t>Σημασία και χρήση των χρόνων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</w:p>
    <w:p w:rsid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• Ο ενεστώτας χρησιμοποιείται για να παρουσιάσουμε μια πράξη που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γίνεται στο παρόν εξακολουθητικά,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π.χ. Κάθομαι στο γραφείο και γράφω.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• Ο παρατατικός χρησιμοποιείται για να τονίσουμε τη διάρκεια ή την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επανάληψη μιας πράξης που γινόταν στο παρελθόν,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π.χ. Το Σάββατο διάβαζα τρεις ώρες (δίνουμε έμφαση στη διάρκεια)</w:t>
      </w:r>
    </w:p>
    <w:p w:rsid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Το καλοκαίρι ξυπνούσα αργά το μεσημέρι (δίνουμε έμφαση στην επανάληψη)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• Ο αόριστος χρησιμοποιείται για να παρουσιάσουμε συνοπτικά ένα γεγονός που έγινε στο παρελθόν, χωρίς να μας ενδιαφέρει η διάρκειά του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αλλά το ίδιο το γεγονός,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π.χ. Το Σάββατο διάβασα τρεις ώρες (δίνουμε έμφαση στο γεγονός – όχι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στη διάρκεια)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• Ο εξακολουθητικός μέλλοντας χρησιμοποιείται για να τονίσουμε τη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διάρκεια ή την επανάληψη μιας πράξης στο μέλλον,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π.χ. Αύριο θα γράφω όλο το απόγευμα (δίνουμε έμφαση στη διάρκεια)</w:t>
      </w:r>
    </w:p>
    <w:p w:rsid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Από αύριο θα ξυπνάω πολύ νωρίς (δίνουμε έμφαση στην επανάληψη)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</w:p>
    <w:p w:rsid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• Ο συνοπτικός μέλλοντας χρησιμοποιείται για να παρουσιάσουμε συνοπτικά ένα γεγονός που θα γίνει στο μέλλον, χωρίς να μας ενδιαφέρει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η διάρκειά του αλλά το ίδιο το γεγονός,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π.χ. Απόψε θα κοιμηθώ αργά (δίνουμε έμφαση στο γεγονός – όχι στη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διάρκεια)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• Ο συντελεσμένος μέλλοντας χρησιμοποιείται για να παρουσιάσουμε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ένα γεγονός που θα έχει ολοκληρωθεί (συντελεστεί) στο μέλλον, πριν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από κάτι άλλο, π.χ. Όταν επιστρέψεις, θα έχω κοιμηθεί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• Ο παρακείμενος χρησιμοποιείται για να μιλήσουμε για ένα γεγονός που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έχει γίνει στο παρελθόν και τα αποτελέσματά του φτάνουν στο παρόν,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π.χ. Μέχρι σήμερα έχω ξοδέψει εκατό ευρώ (η πράξη έγινε στο παρελθόν αλλά το αποτέλεσμά της φτάνει στο παρόν)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• Ο υπερσυντέλικος χρησιμοποιείται για να μιλήσουμε για κάτι που έχει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γίνει στο παρελθόν πριν από ένα άλλο γεγονός,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π.χ. Όταν ήρθες, είχα φύγει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br/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br/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t>ΠΡΟΣΟΧΗ!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Οι παραπάνω σημασίες των ρημάτων και η κατάταξή τους στις χρονικές βαθμίδες του παρελθόντος παρόντος ή μέλλοντος αναφέρονται όταν μελετάμε το ρήμα στην οριστική έγκλιση.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bookmarkStart w:id="0" w:name="_GoBack"/>
      <w:bookmarkEnd w:id="0"/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br/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lastRenderedPageBreak/>
        <w:t>ΠΟΙΟΝ ΕΝΕΡΓΕΙΑΣ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br/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t>Ποιόν ενέργειας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είναι μια μορφολογική κατηγορία που αναφέρεται στον τρόπο με τον οποίο παρουσιάζει ο ομιλητής το αν η ενέργεια που δηλώνει το ρήμα εμφανίζεται ως ολοκληρωμένη, ως εξελισσόμενη, ως μοναδικό γεγονός κτλ. Ως προς το ποιόν ενέργειας στην οριστική διακρίνονται τρία είδη χρόνων: α)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bdr w:val="none" w:sz="0" w:space="0" w:color="auto" w:frame="1"/>
          <w:lang w:val="el-GR"/>
        </w:rPr>
        <w:t>οι μη συνοπτικοί ή εξακολουθητικοί (ενεστώτας, παρατατικός και εξακολουθητικός μέλλοντας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), β)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bdr w:val="none" w:sz="0" w:space="0" w:color="auto" w:frame="1"/>
          <w:lang w:val="el-GR"/>
        </w:rPr>
        <w:t>οι συνοπτικοί ή στιγμιαίοι (αόριστος και συνοπτικός μέλλοντας)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και γ)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bdr w:val="none" w:sz="0" w:space="0" w:color="auto" w:frame="1"/>
          <w:lang w:val="el-GR"/>
        </w:rPr>
        <w:t>οι συντελεσμένοι (παρακείμενος, υπερσυντέλικος και συντελεσμένος μέλλοντας)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. Στην υποτακτική διακρίνονται: η υποτακτική ενεστώτα (λέγεται και εξακολουθητική υπ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o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val="el-GR"/>
        </w:rPr>
        <w:t>τακτική), η υποτακτική αορίστου (λέγεται και συνοπτική υποτακτική) και η υποτακτική παρακειμένου (λέγεται και συντελεσμένη υποτακτική). Στην προστακτική διακρίνονται: η προστακτική ενεστώτα (λέγεται και εξακολουθητική προστακτική) και η προστακτική αορίστου (λέγεται και συνοπτική προστακτική).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br/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t>Κατηγορίες χρόνων ανάλογα με το ποιόν ενέργειάς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</w:rPr>
        <w:t> 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t>τους</w:t>
      </w:r>
    </w:p>
    <w:p w:rsidR="00EA069E" w:rsidRPr="00EA069E" w:rsidRDefault="00EA069E" w:rsidP="00EA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l-GR"/>
        </w:rPr>
        <w:br/>
      </w:r>
    </w:p>
    <w:p w:rsidR="00EA069E" w:rsidRPr="00EA069E" w:rsidRDefault="00EA069E" w:rsidP="00EA06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α. μη συνοπτικοί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ή εξακολουθητικοί: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ενεστώτας, παρατατικός, εξακολουθητικός μέλλοντας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. Φανερώνουν ότι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μια πράξη γίνεται συνέχεια ή με επανάληψη</w:t>
      </w:r>
    </w:p>
    <w:p w:rsidR="00EA069E" w:rsidRPr="00EA069E" w:rsidRDefault="00EA069E" w:rsidP="00EA06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val="el-GR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β. συνοπτικοί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ή στιγμιαίοι: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αόριστος, στιγμιαίος μέλλοντας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 xml:space="preserve">. 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Φανερώνουν ότι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μια πράξη έγινε ή θα γίνει χωρίς συνέχεια ή επανάληψη</w:t>
      </w:r>
    </w:p>
    <w:p w:rsidR="00EA069E" w:rsidRPr="00EA069E" w:rsidRDefault="00EA069E" w:rsidP="00EA06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γ. συντελεσμένοι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: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>παρακείμενος, υπερσυντέλικος, συντελεσμένος μέλλοντας</w:t>
      </w: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val="el-GR"/>
        </w:rPr>
        <w:t xml:space="preserve">. </w:t>
      </w:r>
      <w:proofErr w:type="gramStart"/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Φα</w:t>
      </w:r>
      <w:proofErr w:type="spellStart"/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νερώνουν</w:t>
      </w:r>
      <w:proofErr w:type="spellEnd"/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ότι</w:t>
      </w:r>
      <w:proofErr w:type="spellEnd"/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μι</w:t>
      </w:r>
      <w:proofErr w:type="spellEnd"/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α π</w:t>
      </w:r>
      <w:proofErr w:type="spellStart"/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ράξη</w:t>
      </w:r>
      <w:proofErr w:type="spellEnd"/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έχει</w:t>
      </w:r>
      <w:proofErr w:type="spellEnd"/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ήδη</w:t>
      </w:r>
      <w:proofErr w:type="spellEnd"/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069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γίνει</w:t>
      </w:r>
      <w:proofErr w:type="spellEnd"/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EA069E" w:rsidRPr="00EA069E" w:rsidRDefault="00EA069E" w:rsidP="00EA06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</w:rPr>
      </w:pPr>
      <w:r w:rsidRPr="00EA069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2204"/>
        <w:gridCol w:w="2388"/>
        <w:gridCol w:w="2640"/>
      </w:tblGrid>
      <w:tr w:rsidR="00EA069E" w:rsidRPr="00EA069E" w:rsidTr="00EA069E"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proofErr w:type="spellStart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Ποιόν</w:t>
            </w:r>
            <w:proofErr w:type="spellEnd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ενέργει</w:t>
            </w:r>
            <w:proofErr w:type="spellEnd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ας</w:t>
            </w:r>
          </w:p>
        </w:tc>
        <w:tc>
          <w:tcPr>
            <w:tcW w:w="2204" w:type="dxa"/>
            <w:tcBorders>
              <w:top w:val="single" w:sz="8" w:space="0" w:color="auto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Πα</w:t>
            </w:r>
            <w:proofErr w:type="spellStart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ροντικοί</w:t>
            </w:r>
            <w:proofErr w:type="spellEnd"/>
          </w:p>
        </w:tc>
        <w:tc>
          <w:tcPr>
            <w:tcW w:w="1971" w:type="dxa"/>
            <w:tcBorders>
              <w:top w:val="single" w:sz="8" w:space="0" w:color="auto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Πα</w:t>
            </w:r>
            <w:proofErr w:type="spellStart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ρελθοντικοί</w:t>
            </w:r>
            <w:proofErr w:type="spellEnd"/>
          </w:p>
        </w:tc>
        <w:tc>
          <w:tcPr>
            <w:tcW w:w="2303" w:type="dxa"/>
            <w:tcBorders>
              <w:top w:val="single" w:sz="8" w:space="0" w:color="auto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proofErr w:type="spellStart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Μελλοντικοί</w:t>
            </w:r>
            <w:proofErr w:type="spellEnd"/>
          </w:p>
        </w:tc>
      </w:tr>
      <w:tr w:rsidR="00EA069E" w:rsidRPr="00EA069E" w:rsidTr="00EA069E">
        <w:tc>
          <w:tcPr>
            <w:tcW w:w="2044" w:type="dxa"/>
            <w:tcBorders>
              <w:top w:val="outset" w:sz="2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proofErr w:type="spellStart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Μη</w:t>
            </w:r>
            <w:proofErr w:type="spellEnd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συνο</w:t>
            </w:r>
            <w:proofErr w:type="spellEnd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πτικοί</w:t>
            </w:r>
          </w:p>
        </w:tc>
        <w:tc>
          <w:tcPr>
            <w:tcW w:w="2204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ΕΝΕΣΤΩΤΑΣ</w:t>
            </w:r>
          </w:p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proofErr w:type="spellStart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δι</w:t>
            </w:r>
            <w:proofErr w:type="spellEnd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αβάζω</w:t>
            </w:r>
          </w:p>
        </w:tc>
        <w:tc>
          <w:tcPr>
            <w:tcW w:w="1971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ΠΑΡΑΤΑΤΙΚΟΣ</w:t>
            </w:r>
          </w:p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proofErr w:type="spellStart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διά</w:t>
            </w:r>
            <w:proofErr w:type="spellEnd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βαζα</w:t>
            </w:r>
          </w:p>
        </w:tc>
        <w:tc>
          <w:tcPr>
            <w:tcW w:w="2303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ΕΞΑΚΟΛΟΥΘΗΤΙΚΟΣ</w:t>
            </w:r>
          </w:p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ΜΕΛΛΟΝΤΑΣ</w:t>
            </w:r>
          </w:p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 xml:space="preserve">θα </w:t>
            </w:r>
            <w:proofErr w:type="spellStart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δι</w:t>
            </w:r>
            <w:proofErr w:type="spellEnd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αβάζω</w:t>
            </w:r>
          </w:p>
        </w:tc>
      </w:tr>
      <w:tr w:rsidR="00EA069E" w:rsidRPr="00EA069E" w:rsidTr="00EA069E">
        <w:tc>
          <w:tcPr>
            <w:tcW w:w="2044" w:type="dxa"/>
            <w:tcBorders>
              <w:top w:val="outset" w:sz="2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proofErr w:type="spellStart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Συνο</w:t>
            </w:r>
            <w:proofErr w:type="spellEnd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πτικοί</w:t>
            </w:r>
          </w:p>
        </w:tc>
        <w:tc>
          <w:tcPr>
            <w:tcW w:w="2204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ΑΟΡΙΣΤΟΣ</w:t>
            </w:r>
          </w:p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proofErr w:type="spellStart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διά</w:t>
            </w:r>
            <w:proofErr w:type="spellEnd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βασα</w:t>
            </w:r>
          </w:p>
        </w:tc>
        <w:tc>
          <w:tcPr>
            <w:tcW w:w="2303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ΣΥΝΟΠΤΙΚΟΣ</w:t>
            </w:r>
          </w:p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ΜΕΛΛΟΝΤΑΣ</w:t>
            </w:r>
          </w:p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 xml:space="preserve">θα </w:t>
            </w:r>
            <w:proofErr w:type="spellStart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δι</w:t>
            </w:r>
            <w:proofErr w:type="spellEnd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αβάσω</w:t>
            </w:r>
          </w:p>
        </w:tc>
      </w:tr>
      <w:tr w:rsidR="00EA069E" w:rsidRPr="00EA069E" w:rsidTr="00EA069E">
        <w:tc>
          <w:tcPr>
            <w:tcW w:w="2044" w:type="dxa"/>
            <w:tcBorders>
              <w:top w:val="outset" w:sz="2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proofErr w:type="spellStart"/>
            <w:r w:rsidRPr="00EA069E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Συντελεσμένοι</w:t>
            </w:r>
            <w:proofErr w:type="spellEnd"/>
          </w:p>
        </w:tc>
        <w:tc>
          <w:tcPr>
            <w:tcW w:w="2204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ΠΑΡΑΚΕΙΜΕΝΟΣ</w:t>
            </w:r>
          </w:p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proofErr w:type="spellStart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έχω</w:t>
            </w:r>
            <w:proofErr w:type="spellEnd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δι</w:t>
            </w:r>
            <w:proofErr w:type="spellEnd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αβάσει</w:t>
            </w:r>
          </w:p>
        </w:tc>
        <w:tc>
          <w:tcPr>
            <w:tcW w:w="1971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ΥΠΕΡΣΥΝΤΕΛΙΚΟΣ</w:t>
            </w:r>
          </w:p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proofErr w:type="spellStart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είχ</w:t>
            </w:r>
            <w:proofErr w:type="spellEnd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 xml:space="preserve">α </w:t>
            </w:r>
            <w:proofErr w:type="spellStart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δι</w:t>
            </w:r>
            <w:proofErr w:type="spellEnd"/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αβάσει</w:t>
            </w:r>
          </w:p>
        </w:tc>
        <w:tc>
          <w:tcPr>
            <w:tcW w:w="2303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val="el-GR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val="el-GR"/>
              </w:rPr>
              <w:t>ΣΥΝΤΕΛΕΣΜΕΝΟΣ</w:t>
            </w:r>
          </w:p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val="el-GR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val="el-GR"/>
              </w:rPr>
              <w:t>ΜΕΛΛΟΝΤΑΣ</w:t>
            </w:r>
          </w:p>
          <w:p w:rsidR="00EA069E" w:rsidRPr="00EA069E" w:rsidRDefault="00EA069E" w:rsidP="00EA069E">
            <w:pPr>
              <w:spacing w:after="0" w:line="273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val="el-GR"/>
              </w:rPr>
            </w:pPr>
            <w:r w:rsidRPr="00EA069E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val="el-GR"/>
              </w:rPr>
              <w:t>θα έχω διαβάσει</w:t>
            </w:r>
          </w:p>
        </w:tc>
      </w:tr>
    </w:tbl>
    <w:p w:rsidR="00B75632" w:rsidRPr="00EA069E" w:rsidRDefault="00B75632">
      <w:pPr>
        <w:rPr>
          <w:lang w:val="el-GR"/>
        </w:rPr>
      </w:pPr>
    </w:p>
    <w:sectPr w:rsidR="00B75632" w:rsidRPr="00EA06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9E"/>
    <w:rsid w:val="00753279"/>
    <w:rsid w:val="00B75632"/>
    <w:rsid w:val="00D65264"/>
    <w:rsid w:val="00E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70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27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183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892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518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81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247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163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16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39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95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56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8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6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40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487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53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3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456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911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4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913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464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32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656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90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280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60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12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56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2020-11-24T22:17:00Z</dcterms:created>
  <dcterms:modified xsi:type="dcterms:W3CDTF">2020-11-24T22:19:00Z</dcterms:modified>
</cp:coreProperties>
</file>