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CA" w:rsidRDefault="001D677C" w:rsidP="007F6D9E">
      <w:pPr>
        <w:spacing w:after="0"/>
        <w:rPr>
          <w:b/>
        </w:rPr>
      </w:pPr>
      <w:r w:rsidRPr="001D677C">
        <w:rPr>
          <w:b/>
        </w:rPr>
        <w:t>ΠΡΟΣΩΠΙΚΕΣ ΑΝΤΩΝΥΜΙΕΣ</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b/>
          <w:bCs/>
          <w:sz w:val="24"/>
          <w:szCs w:val="24"/>
          <w:lang w:eastAsia="el-GR"/>
        </w:rPr>
        <w:t>Προσωπικές</w:t>
      </w:r>
      <w:r w:rsidRPr="00913508">
        <w:rPr>
          <w:rFonts w:ascii="Times New Roman" w:eastAsia="Times New Roman" w:hAnsi="Times New Roman" w:cs="Times New Roman"/>
          <w:sz w:val="24"/>
          <w:szCs w:val="24"/>
          <w:lang w:eastAsia="el-GR"/>
        </w:rPr>
        <w:t xml:space="preserve"> λέγονται οι αντωνυμίες που φανερώνουν </w:t>
      </w:r>
      <w:r w:rsidRPr="00913508">
        <w:rPr>
          <w:rFonts w:ascii="Times New Roman" w:eastAsia="Times New Roman" w:hAnsi="Times New Roman" w:cs="Times New Roman"/>
          <w:sz w:val="24"/>
          <w:szCs w:val="24"/>
          <w:u w:val="single"/>
          <w:lang w:eastAsia="el-GR"/>
        </w:rPr>
        <w:t>τα τρία πρόσωπα</w:t>
      </w:r>
      <w:r w:rsidRPr="00913508">
        <w:rPr>
          <w:rFonts w:ascii="Times New Roman" w:eastAsia="Times New Roman" w:hAnsi="Times New Roman" w:cs="Times New Roman"/>
          <w:sz w:val="24"/>
          <w:szCs w:val="24"/>
          <w:lang w:eastAsia="el-GR"/>
        </w:rPr>
        <w:t xml:space="preserve"> του λόγου</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xml:space="preserve">Πρώτο πρόσωπο είναι εκείνο που ενεργεί: </w:t>
      </w:r>
      <w:r w:rsidRPr="00913508">
        <w:rPr>
          <w:rFonts w:ascii="Times New Roman" w:eastAsia="Times New Roman" w:hAnsi="Times New Roman" w:cs="Times New Roman"/>
          <w:b/>
          <w:bCs/>
          <w:sz w:val="24"/>
          <w:szCs w:val="24"/>
          <w:lang w:eastAsia="el-GR"/>
        </w:rPr>
        <w:t>ἐγώ</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xml:space="preserve">Δεύτερο πρόσωπο είναι εκείνο που του απευθυνόμαστε: </w:t>
      </w:r>
      <w:r w:rsidRPr="00913508">
        <w:rPr>
          <w:rFonts w:ascii="Times New Roman" w:eastAsia="Times New Roman" w:hAnsi="Times New Roman" w:cs="Times New Roman"/>
          <w:b/>
          <w:bCs/>
          <w:sz w:val="24"/>
          <w:szCs w:val="24"/>
          <w:lang w:eastAsia="el-GR"/>
        </w:rPr>
        <w:t>ἐσύ</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xml:space="preserve">Τρίτο πρόσωπο είναι εκείνο για το οποίο γίνεται λόγος: </w:t>
      </w:r>
      <w:r w:rsidRPr="00913508">
        <w:rPr>
          <w:rFonts w:ascii="Times New Roman" w:eastAsia="Times New Roman" w:hAnsi="Times New Roman" w:cs="Times New Roman"/>
          <w:b/>
          <w:bCs/>
          <w:sz w:val="24"/>
          <w:szCs w:val="24"/>
          <w:lang w:eastAsia="el-GR"/>
        </w:rPr>
        <w:t>αὐτός, ἐκεῖνος</w:t>
      </w:r>
      <w:r w:rsidRPr="00913508">
        <w:rPr>
          <w:rFonts w:ascii="Times New Roman" w:eastAsia="Times New Roman" w:hAnsi="Times New Roman" w:cs="Times New Roman"/>
          <w:sz w:val="24"/>
          <w:szCs w:val="24"/>
          <w:lang w:eastAsia="el-GR"/>
        </w:rPr>
        <w:t>, κ.τ.λ.</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Η προσωπική αντωνυμία κλίνεται ως εξής:</w:t>
      </w:r>
    </w:p>
    <w:p w:rsidR="00913508" w:rsidRPr="00913508" w:rsidRDefault="00913508" w:rsidP="007F6D9E">
      <w:pPr>
        <w:spacing w:before="100" w:beforeAutospacing="1"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269"/>
        <w:gridCol w:w="1179"/>
        <w:gridCol w:w="1175"/>
        <w:gridCol w:w="1174"/>
      </w:tblGrid>
      <w:tr w:rsidR="00913508" w:rsidRPr="00913508" w:rsidTr="00913508">
        <w:trPr>
          <w:tblCellSpacing w:w="15" w:type="dxa"/>
          <w:jc w:val="center"/>
        </w:trPr>
        <w:tc>
          <w:tcPr>
            <w:tcW w:w="0" w:type="auto"/>
            <w:gridSpan w:val="4"/>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Ενικός αριθμός</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α' πρόσωπο</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β' πρόσωπο</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γ' πρόσωπο</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Ονομαστική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ἐγὼ</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σὺ</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Γενική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ἐμοῦ, μου</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σοῦ, σου</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(οὗ)</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Δοτική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ἐμοί, μοι</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σοί, σοι</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οἷ, οἱ</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Αιτιατική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ἐμέ με</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σέ, σε</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(ἕ)</w:t>
            </w:r>
          </w:p>
        </w:tc>
      </w:tr>
      <w:tr w:rsidR="00913508" w:rsidRPr="00913508" w:rsidTr="00913508">
        <w:trPr>
          <w:tblCellSpacing w:w="15" w:type="dxa"/>
          <w:jc w:val="center"/>
        </w:trPr>
        <w:tc>
          <w:tcPr>
            <w:tcW w:w="0" w:type="auto"/>
            <w:gridSpan w:val="4"/>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Πληθυντικός αριθμός</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Ονομαστική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ἡμεῖς</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ὑμεῖς</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(σφεῖς)</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Γενική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ἡμῶν</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ὑμῶν</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(σφῶν)</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Δοτική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ἡμῖν</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ὑμῖν</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σφίσι(ν)</w:t>
            </w:r>
          </w:p>
        </w:tc>
      </w:tr>
      <w:tr w:rsidR="00913508" w:rsidRPr="00913508" w:rsidTr="00913508">
        <w:trPr>
          <w:tblCellSpacing w:w="15" w:type="dxa"/>
          <w:jc w:val="center"/>
        </w:trPr>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Αιτιατική</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ἡμᾶς</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ὑμᾶς</w:t>
            </w:r>
          </w:p>
        </w:tc>
        <w:tc>
          <w:tcPr>
            <w:tcW w:w="0" w:type="auto"/>
            <w:vAlign w:val="center"/>
            <w:hideMark/>
          </w:tcPr>
          <w:p w:rsidR="00913508" w:rsidRPr="00913508" w:rsidRDefault="00913508" w:rsidP="00913508">
            <w:pPr>
              <w:spacing w:after="0" w:line="240" w:lineRule="auto"/>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(σφᾶς)</w:t>
            </w:r>
          </w:p>
        </w:tc>
      </w:tr>
    </w:tbl>
    <w:p w:rsidR="00913508" w:rsidRPr="00913508" w:rsidRDefault="00913508" w:rsidP="009135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 </w:t>
      </w:r>
    </w:p>
    <w:p w:rsidR="00913508" w:rsidRPr="00913508" w:rsidRDefault="00913508" w:rsidP="009135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913508">
        <w:rPr>
          <w:rFonts w:ascii="Times New Roman" w:eastAsia="Times New Roman" w:hAnsi="Times New Roman" w:cs="Times New Roman"/>
          <w:sz w:val="24"/>
          <w:szCs w:val="24"/>
          <w:lang w:eastAsia="el-GR"/>
        </w:rPr>
        <w:t>Όπως φαίνεται από την κλίση της αντωνυμίας στη γενική και στη δοτική του ενικού υπάρχουν δύο τύποι, ο δυνατός (</w:t>
      </w:r>
      <w:r w:rsidRPr="00913508">
        <w:rPr>
          <w:rFonts w:ascii="Times New Roman" w:eastAsia="Times New Roman" w:hAnsi="Times New Roman" w:cs="Times New Roman"/>
          <w:b/>
          <w:bCs/>
          <w:sz w:val="24"/>
          <w:szCs w:val="24"/>
          <w:lang w:eastAsia="el-GR"/>
        </w:rPr>
        <w:t>ἐμοῦ, ἐμοί, σοῦ, σοί</w:t>
      </w:r>
      <w:r w:rsidRPr="00913508">
        <w:rPr>
          <w:rFonts w:ascii="Times New Roman" w:eastAsia="Times New Roman" w:hAnsi="Times New Roman" w:cs="Times New Roman"/>
          <w:sz w:val="24"/>
          <w:szCs w:val="24"/>
          <w:lang w:eastAsia="el-GR"/>
        </w:rPr>
        <w:t>) και ο αδύνατος (</w:t>
      </w:r>
      <w:r w:rsidRPr="00913508">
        <w:rPr>
          <w:rFonts w:ascii="Times New Roman" w:eastAsia="Times New Roman" w:hAnsi="Times New Roman" w:cs="Times New Roman"/>
          <w:b/>
          <w:bCs/>
          <w:sz w:val="24"/>
          <w:szCs w:val="24"/>
          <w:lang w:eastAsia="el-GR"/>
        </w:rPr>
        <w:t>μου, μοι, σου, σοι</w:t>
      </w:r>
      <w:r w:rsidRPr="00913508">
        <w:rPr>
          <w:rFonts w:ascii="Times New Roman" w:eastAsia="Times New Roman" w:hAnsi="Times New Roman" w:cs="Times New Roman"/>
          <w:sz w:val="24"/>
          <w:szCs w:val="24"/>
          <w:lang w:eastAsia="el-GR"/>
        </w:rPr>
        <w:t xml:space="preserve">). Ο δυνατός τύπος χρησιμοποιείται όταν υπάρχει έμφαση, ενώ ο αδύνατος όταν δεν υπάρχει έμφαση. </w:t>
      </w:r>
    </w:p>
    <w:p w:rsidR="00F93975" w:rsidRPr="00913508" w:rsidRDefault="00B415F1" w:rsidP="00B415F1">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896045" w:rsidRPr="00896045">
        <w:rPr>
          <w:rFonts w:ascii="Times New Roman" w:eastAsia="Times New Roman" w:hAnsi="Times New Roman" w:cs="Times New Roman"/>
          <w:sz w:val="24"/>
          <w:szCs w:val="24"/>
          <w:lang w:eastAsia="el-GR"/>
        </w:rPr>
        <w:t>. Αἱ ψυχαὶ ἡμῶν καθαραί εἰσιν.</w:t>
      </w:r>
      <w:r w:rsidR="00896045" w:rsidRPr="00896045">
        <w:rPr>
          <w:rFonts w:ascii="Times New Roman" w:eastAsia="Times New Roman" w:hAnsi="Times New Roman" w:cs="Times New Roman"/>
          <w:sz w:val="24"/>
          <w:szCs w:val="24"/>
          <w:lang w:eastAsia="el-GR"/>
        </w:rPr>
        <w:br/>
        <w:t>β. Μάχονται ἡμῖν οἱ πολέμιοι.</w:t>
      </w:r>
      <w:r w:rsidR="00896045" w:rsidRPr="00896045">
        <w:rPr>
          <w:rFonts w:ascii="Times New Roman" w:eastAsia="Times New Roman" w:hAnsi="Times New Roman" w:cs="Times New Roman"/>
          <w:sz w:val="24"/>
          <w:szCs w:val="24"/>
          <w:lang w:eastAsia="el-GR"/>
        </w:rPr>
        <w:br/>
        <w:t>γ. Αἱροῦνται ἡμᾶς στρατηγούς.</w:t>
      </w:r>
      <w:r w:rsidR="00896045" w:rsidRPr="00896045">
        <w:rPr>
          <w:rFonts w:ascii="Times New Roman" w:eastAsia="Times New Roman" w:hAnsi="Times New Roman" w:cs="Times New Roman"/>
          <w:sz w:val="24"/>
          <w:szCs w:val="24"/>
          <w:lang w:eastAsia="el-GR"/>
        </w:rPr>
        <w:br/>
        <w:t>δ. Ἐγὼ εἰμι ὁ ποιμὴν ὁ καλός.</w:t>
      </w:r>
      <w:r w:rsidR="00896045" w:rsidRPr="00896045">
        <w:rPr>
          <w:rFonts w:ascii="Times New Roman" w:eastAsia="Times New Roman" w:hAnsi="Times New Roman" w:cs="Times New Roman"/>
          <w:sz w:val="24"/>
          <w:szCs w:val="24"/>
          <w:lang w:eastAsia="el-GR"/>
        </w:rPr>
        <w:br/>
        <w:t>ε. ῾Ο λόγος σου γλυκύς ἐστι.</w:t>
      </w:r>
      <w:r w:rsidR="00896045" w:rsidRPr="00896045">
        <w:rPr>
          <w:rFonts w:ascii="Times New Roman" w:eastAsia="Times New Roman" w:hAnsi="Times New Roman" w:cs="Times New Roman"/>
          <w:sz w:val="24"/>
          <w:szCs w:val="24"/>
          <w:lang w:eastAsia="el-GR"/>
        </w:rPr>
        <w:br/>
        <w:t>στ. Οἱ πρόγονοι ὑμῶν γενναῖοι ἦσαν.</w:t>
      </w:r>
      <w:r w:rsidR="00896045" w:rsidRPr="00896045">
        <w:rPr>
          <w:rFonts w:ascii="Times New Roman" w:eastAsia="Times New Roman" w:hAnsi="Times New Roman" w:cs="Times New Roman"/>
          <w:sz w:val="24"/>
          <w:szCs w:val="24"/>
          <w:lang w:eastAsia="el-GR"/>
        </w:rPr>
        <w:br/>
        <w:t>ζ. Λέγω σοι καὶ τοῦτο.</w:t>
      </w:r>
    </w:p>
    <w:p w:rsidR="00913508" w:rsidRPr="00913508" w:rsidRDefault="00F93975" w:rsidP="00913508">
      <w:pPr>
        <w:spacing w:before="100" w:beforeAutospacing="1" w:after="100" w:afterAutospacing="1" w:line="240" w:lineRule="auto"/>
        <w:jc w:val="center"/>
        <w:rPr>
          <w:rFonts w:ascii="Times New Roman" w:eastAsia="Times New Roman" w:hAnsi="Times New Roman" w:cs="Times New Roman"/>
          <w:sz w:val="24"/>
          <w:szCs w:val="24"/>
          <w:lang w:eastAsia="el-GR"/>
        </w:rPr>
      </w:pPr>
      <w:r>
        <w:rPr>
          <w:rStyle w:val="gapspan"/>
        </w:rPr>
        <w:t xml:space="preserve">Ὅτε τὰ ζῷα φωνὴν εἶχε, τὰ πρόβατα ἔλεγε τῷ δεσπότη· «Ἡμεῖς, ὦ δέσποτα, ἔριά σοι παρέχομεν καὶ τυρόν τοῖς δ' ἀμνοῖς ἡμῶν τρέφομεν τὰ τέκνα. Σὺ δ’ οὐδὲν παρέχεις ἡμῖν, εἰ μή ἡμεῖς ἐκ τῆς γῆς λαμβάνομεν· ὁ δέ κύων, καίτοι οὐδέν παρέχει σοι, ἐκ τοῦ σίτου καθ’ ἡμέραν λαμβάνει». Ὁ δὲ κύων ἔλεγεν· «῏Ω ἀνόητον πρόβατον, ἡ γλῶσσά σου προτρέχει τῆς διανοίας. Ἐγώ εἰμι χρησιμώτερος ὑμῶν· ἔργον μὲν γὰρ ὑμῶν ἐστι παρέχειν τὰ ἀγαθὰ τῷ δεσπότῃ, ἄλλον δὲ πόνον ὑμεῖς οὐκ ἔχετε. Εἰ δ’ ἐγὼ μὴ ἐφύλαττον ὑμᾶς, ἐκινδυνεύετε ἂν </w:t>
      </w:r>
      <w:r w:rsidR="00C457CE">
        <w:rPr>
          <w:rStyle w:val="gapspan"/>
        </w:rPr>
        <w:lastRenderedPageBreak/>
        <w:t>π</w:t>
      </w:r>
      <w:r>
        <w:rPr>
          <w:rStyle w:val="gapspan"/>
        </w:rPr>
        <w:t>άσχειν κακὰ ὑπὸ τῶν ἐχθρῶν. ὑμᾶς δ’ ἀνάγκη ἀεὶ φυλάττειν καὶ σῴζειν ὑμᾶς ἐκ τῶν κινδύνων ».</w:t>
      </w:r>
      <w:r w:rsidR="00913508" w:rsidRPr="00913508">
        <w:rPr>
          <w:rFonts w:ascii="Times New Roman" w:eastAsia="Times New Roman" w:hAnsi="Times New Roman" w:cs="Times New Roman"/>
          <w:sz w:val="24"/>
          <w:szCs w:val="24"/>
          <w:lang w:eastAsia="el-GR"/>
        </w:rPr>
        <w:t> </w:t>
      </w:r>
    </w:p>
    <w:p w:rsidR="00913508" w:rsidRPr="001D677C" w:rsidRDefault="00913508">
      <w:pPr>
        <w:rPr>
          <w:b/>
        </w:rPr>
      </w:pPr>
      <w:bookmarkStart w:id="0" w:name="_GoBack"/>
      <w:bookmarkEnd w:id="0"/>
    </w:p>
    <w:sectPr w:rsidR="00913508" w:rsidRPr="001D67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7C"/>
    <w:rsid w:val="001D677C"/>
    <w:rsid w:val="00224847"/>
    <w:rsid w:val="002523B3"/>
    <w:rsid w:val="007F6D9E"/>
    <w:rsid w:val="00896045"/>
    <w:rsid w:val="00913508"/>
    <w:rsid w:val="00B415F1"/>
    <w:rsid w:val="00C0440C"/>
    <w:rsid w:val="00C457CE"/>
    <w:rsid w:val="00F939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F93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F9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2357">
      <w:bodyDiv w:val="1"/>
      <w:marLeft w:val="0"/>
      <w:marRight w:val="0"/>
      <w:marTop w:val="0"/>
      <w:marBottom w:val="0"/>
      <w:divBdr>
        <w:top w:val="none" w:sz="0" w:space="0" w:color="auto"/>
        <w:left w:val="none" w:sz="0" w:space="0" w:color="auto"/>
        <w:bottom w:val="none" w:sz="0" w:space="0" w:color="auto"/>
        <w:right w:val="none" w:sz="0" w:space="0" w:color="auto"/>
      </w:divBdr>
      <w:divsChild>
        <w:div w:id="69877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265</Words>
  <Characters>1435</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dc:creator>
  <cp:lastModifiedBy>Μαρίνα</cp:lastModifiedBy>
  <cp:revision>8</cp:revision>
  <dcterms:created xsi:type="dcterms:W3CDTF">2020-12-04T08:11:00Z</dcterms:created>
  <dcterms:modified xsi:type="dcterms:W3CDTF">2020-12-04T08:26:00Z</dcterms:modified>
</cp:coreProperties>
</file>