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8D" w:rsidRPr="002F408D" w:rsidRDefault="002F408D" w:rsidP="002F408D">
      <w:pPr>
        <w:shd w:val="clear" w:color="auto" w:fill="141414"/>
        <w:spacing w:after="0" w:line="240" w:lineRule="auto"/>
        <w:outlineLvl w:val="2"/>
        <w:rPr>
          <w:rFonts w:ascii="Arial" w:eastAsia="Times New Roman" w:hAnsi="Arial" w:cs="Arial"/>
          <w:b/>
          <w:bCs/>
          <w:color w:val="FFFFFF"/>
          <w:sz w:val="26"/>
          <w:szCs w:val="26"/>
          <w:lang w:eastAsia="el-GR"/>
        </w:rPr>
      </w:pPr>
      <w:r w:rsidRPr="002F408D">
        <w:rPr>
          <w:rFonts w:ascii="Arial" w:eastAsia="Times New Roman" w:hAnsi="Arial" w:cs="Arial"/>
          <w:b/>
          <w:bCs/>
          <w:color w:val="FFFFFF"/>
          <w:sz w:val="26"/>
          <w:szCs w:val="26"/>
          <w:lang w:eastAsia="el-GR"/>
        </w:rPr>
        <w:t>Καλό Τριώδιο!...</w:t>
      </w:r>
    </w:p>
    <w:p w:rsidR="00B46E0F" w:rsidRDefault="00B46E0F">
      <w:pPr>
        <w:rPr>
          <w:rFonts w:ascii="Verdana" w:hAnsi="Verdana"/>
          <w:color w:val="FFFFFF"/>
          <w:shd w:val="clear" w:color="auto" w:fill="141414"/>
        </w:rPr>
      </w:pPr>
    </w:p>
    <w:p w:rsidR="002F408D" w:rsidRDefault="0035786F">
      <w:hyperlink r:id="rId4" w:history="1">
        <w:r w:rsidR="00B46E0F" w:rsidRPr="00284688">
          <w:rPr>
            <w:rStyle w:val="-"/>
            <w:rFonts w:ascii="Verdana" w:hAnsi="Verdana"/>
            <w:highlight w:val="lightGray"/>
            <w:shd w:val="clear" w:color="auto" w:fill="141414"/>
          </w:rPr>
          <w:t>https://www.slideshare.net/soultanagargana/ss-30996768</w:t>
        </w:r>
      </w:hyperlink>
    </w:p>
    <w:p w:rsidR="00284688" w:rsidRDefault="00284688">
      <w:pPr>
        <w:rPr>
          <w:rFonts w:ascii="Verdana" w:hAnsi="Verdana"/>
          <w:color w:val="FFFFFF"/>
          <w:shd w:val="clear" w:color="auto" w:fill="141414"/>
        </w:rPr>
      </w:pPr>
    </w:p>
    <w:p w:rsidR="00B46E0F" w:rsidRPr="00B46E0F" w:rsidRDefault="00B46E0F">
      <w:pPr>
        <w:rPr>
          <w:rFonts w:ascii="Verdana" w:hAnsi="Verdana"/>
          <w:color w:val="17365D" w:themeColor="text2" w:themeShade="BF"/>
          <w:shd w:val="clear" w:color="auto" w:fill="141414"/>
        </w:rPr>
      </w:pPr>
      <w:r w:rsidRPr="00B46E0F">
        <w:rPr>
          <w:rFonts w:ascii="Verdana" w:hAnsi="Verdana"/>
          <w:color w:val="17365D" w:themeColor="text2" w:themeShade="BF"/>
          <w:highlight w:val="lightGray"/>
          <w:shd w:val="clear" w:color="auto" w:fill="141414"/>
        </w:rPr>
        <w:t>https://www.slideshare.net/avramaki/ss-31800088?next_slideshow=1</w:t>
      </w:r>
    </w:p>
    <w:p w:rsidR="00B46E0F" w:rsidRDefault="00B46E0F">
      <w:pPr>
        <w:rPr>
          <w:rFonts w:ascii="Verdana" w:hAnsi="Verdana"/>
          <w:color w:val="FFFFFF"/>
          <w:shd w:val="clear" w:color="auto" w:fill="141414"/>
        </w:rPr>
      </w:pPr>
    </w:p>
    <w:p w:rsidR="00B46E0F" w:rsidRPr="00B46E0F" w:rsidRDefault="00B46E0F">
      <w:pPr>
        <w:rPr>
          <w:rFonts w:ascii="Verdana" w:hAnsi="Verdana"/>
          <w:color w:val="FFFFFF"/>
          <w:shd w:val="clear" w:color="auto" w:fill="141414"/>
        </w:rPr>
      </w:pPr>
    </w:p>
    <w:p w:rsidR="0067742E" w:rsidRPr="002F408D" w:rsidRDefault="002F408D">
      <w:pPr>
        <w:rPr>
          <w:rFonts w:ascii="Verdana" w:hAnsi="Verdana"/>
          <w:color w:val="FFFFFF"/>
          <w:shd w:val="clear" w:color="auto" w:fill="141414"/>
        </w:rPr>
      </w:pPr>
      <w:r>
        <w:rPr>
          <w:rFonts w:ascii="Verdana" w:hAnsi="Verdana"/>
          <w:color w:val="FFFFFF"/>
          <w:shd w:val="clear" w:color="auto" w:fill="141414"/>
        </w:rPr>
        <w:t>Τριώδιο λέγεται το </w:t>
      </w:r>
      <w:r>
        <w:rPr>
          <w:rFonts w:ascii="Verdana" w:hAnsi="Verdana"/>
          <w:b/>
          <w:bCs/>
          <w:color w:val="FFFFFF"/>
          <w:shd w:val="clear" w:color="auto" w:fill="141414"/>
        </w:rPr>
        <w:t>λειτουργικό βιβλίο</w:t>
      </w:r>
      <w:r>
        <w:rPr>
          <w:rFonts w:ascii="Verdana" w:hAnsi="Verdana"/>
          <w:color w:val="FFFFFF"/>
          <w:shd w:val="clear" w:color="auto" w:fill="141414"/>
        </w:rPr>
        <w:t> </w:t>
      </w:r>
      <w:r>
        <w:rPr>
          <w:rFonts w:ascii="Verdana" w:hAnsi="Verdana"/>
          <w:color w:val="B45F06"/>
          <w:shd w:val="clear" w:color="auto" w:fill="141414"/>
        </w:rPr>
        <w:t>[δηλ. βιβλίο που διαβάζεται στην εκκλησία κατά τις διάφορες ακολουθίες, δηλ. τελετές]</w:t>
      </w:r>
      <w:r>
        <w:rPr>
          <w:rFonts w:ascii="Verdana" w:hAnsi="Verdana"/>
          <w:color w:val="FFFFFF"/>
          <w:shd w:val="clear" w:color="auto" w:fill="141414"/>
        </w:rPr>
        <w:t> που περιέχει υμνολογικό υλικό κυρίως του Εσπερινού και του Όρθρου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Η περίοδος του Τριωδίου έχει σκοπό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να μας προετοιμάσει με νηστεία, προσευχή και μετάνοια, για να υποδεχθούμε τα Άγια Πάθη του Κυρίου μας και την ένδοξη Ανάσταση Του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 Το Πάσχα μας αποτελεί το διαρκές πέρασμα μας, την είσοδο μας στην «καινή ζωή της Βασιλείας». Για να βιωθεί με περισσότερη εσωτερικότητα η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«εορτή των εορτών»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, είναι απαραίτητη η κατάλληλη εσωτερική προετοιμασία. Αυτή την διασφαλίζει η ευλογημένη περίοδος του Τριωδίου.</w:t>
      </w:r>
    </w:p>
    <w:p w:rsidR="002F408D" w:rsidRPr="002F408D" w:rsidRDefault="002F408D" w:rsidP="002F408D">
      <w:pPr>
        <w:shd w:val="clear" w:color="auto" w:fill="141414"/>
        <w:spacing w:after="24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Η κατανυκτική περίοδος του Τριωδίου, που μέσα στους κόλπους της περιλαμβάνει τη Μεγάλη Σαρακοστή, αποτελεί για όλους τους πιστούς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μοναδική ευκαιρία και δυνατότητα για πορεία μετανοίας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 Την πνευματική πορεία μας την χαρακτηρίζει η μετάνοια που πρέπει να είναι συνεχής. Βέβαια, στην περίοδο της Μεγάλης Σαρακοστής χρειάζεται να είναι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 xml:space="preserve">πιο έντονη μια και αυτή μας οδηγεί στον εορτασμό του </w:t>
      </w:r>
      <w:proofErr w:type="spellStart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Σταυρο</w:t>
      </w:r>
      <w:proofErr w:type="spellEnd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-Αναστάσιμου Πάσχα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 Να καθαρίσουμε δηλαδή την ύπαρξη μας από κάθε «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μολυσμόν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σαρκός και πνεύματος» και να δεχθούμε τον Χριστό στην ζωή μας. 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Η περίοδος του Τριωδίου καλύπτει: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br/>
        <w:t>α. Τις τρεις εβδομάδες πριν από τη Μεγάλη Τεσσαρακοστή (22 ημέρες).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br/>
        <w:t>β. Τη Μεγάλη Τεσσαρακοστή (40 ημέρες, από την Καθαρά Δευτέρα μέχρι την Παρασκευή πριν από το Σάββατο του Λαζάρου).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br/>
        <w:t xml:space="preserve">γ. Τις δυο ήμερες Σάββατο του Λαζάρου και Κυριακή των Βαΐων (συνδετικές ήμερες της Μεγάλης Τεσσαρακοστής με τη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Μεγ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 Εβδομάδα).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br/>
        <w:t>δ. Τη Μεγάλη Εβδομάδα (6 ημέρες). 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  <w:t>ΑΚΟΛΟΥΘΙΕΣ ΤΟΥ ΤΡΙΩΔΙΟΥ </w:t>
      </w:r>
    </w:p>
    <w:p w:rsidR="002F408D" w:rsidRPr="002F408D" w:rsidRDefault="002F408D" w:rsidP="002F408D">
      <w:pPr>
        <w:shd w:val="clear" w:color="auto" w:fill="141414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  <w:t> 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Οι τρεις πρώτες εβδομάδες λέγονται στην εκκλησιαστική γλώσσα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«</w:t>
      </w:r>
      <w:proofErr w:type="spellStart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προφωνήσιμοι</w:t>
      </w:r>
      <w:proofErr w:type="spellEnd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»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 διότι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προαναφωνούν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τους αγώνες που 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lastRenderedPageBreak/>
        <w:t>έχουμε να κάνουμε εναντίον των παθών και των δαιμόνων κατά την διάρκεια της Αγίας Τεσσαρακοστής. 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p w:rsidR="002F408D" w:rsidRPr="00B46E0F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B46E0F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B46E0F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B46E0F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B46E0F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B46E0F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B46E0F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B46E0F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  <w:r w:rsidRPr="002F408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  <w:t>Η Κυριακή του Τελώνου και του Φαρισαίου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6"/>
          <w:szCs w:val="16"/>
          <w:lang w:val="en-US"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l-GR"/>
        </w:rPr>
        <w:drawing>
          <wp:inline distT="0" distB="0" distL="0" distR="0">
            <wp:extent cx="2007870" cy="2732934"/>
            <wp:effectExtent l="19050" t="0" r="0" b="0"/>
            <wp:docPr id="9" name="Εικόνα 9" descr="C:\Users\user\Pictures\Τελώνης και Φαρισαί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Τελώνης και Φαρισαίο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73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tbl>
      <w:tblPr>
        <w:tblW w:w="0" w:type="auto"/>
        <w:jc w:val="center"/>
        <w:tblCellSpacing w:w="0" w:type="dxa"/>
        <w:shd w:val="clear" w:color="auto" w:fill="141414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02"/>
      </w:tblGrid>
      <w:tr w:rsidR="002F408D" w:rsidRPr="002F408D" w:rsidTr="00360BC0">
        <w:trPr>
          <w:tblCellSpacing w:w="0" w:type="dxa"/>
          <w:jc w:val="center"/>
        </w:trPr>
        <w:tc>
          <w:tcPr>
            <w:tcW w:w="0" w:type="auto"/>
            <w:shd w:val="clear" w:color="auto" w:fill="141414"/>
            <w:hideMark/>
          </w:tcPr>
          <w:p w:rsidR="002F408D" w:rsidRDefault="002F408D"/>
        </w:tc>
      </w:tr>
      <w:tr w:rsidR="002F408D" w:rsidRPr="002F408D" w:rsidTr="00360BC0">
        <w:trPr>
          <w:tblCellSpacing w:w="0" w:type="dxa"/>
          <w:jc w:val="center"/>
        </w:trPr>
        <w:tc>
          <w:tcPr>
            <w:tcW w:w="0" w:type="auto"/>
            <w:shd w:val="clear" w:color="auto" w:fill="141414"/>
            <w:hideMark/>
          </w:tcPr>
          <w:p w:rsidR="002F408D" w:rsidRDefault="002F408D"/>
        </w:tc>
      </w:tr>
    </w:tbl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br/>
        <w:t>Την Κυριακή αυτή διαβάζεται η ομώνυμη παραβολή</w:t>
      </w:r>
      <w:r w:rsidRPr="002F408D">
        <w:rPr>
          <w:rFonts w:ascii="Verdana" w:eastAsia="Times New Roman" w:hAnsi="Verdana" w:cs="Times New Roman"/>
          <w:color w:val="003366"/>
          <w:sz w:val="24"/>
          <w:szCs w:val="24"/>
          <w:lang w:eastAsia="el-GR"/>
        </w:rPr>
        <w:t> 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στην οποία διακρίνουμε τα αποτελέσματα της υπερήφανης προσευχής του «δικαίου» Φαρισαίου που τελικά δεν εισακούστηκε και της ταπεινής προσευχής του αμαρτωλού Τελώνου,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του οποίου (η προσευχή) ανέβει στον ουρανό ως θυμίαμα και εισακούστηκε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Με αυτόν τον τρόπο η Εκκλησία μας βοήθα να συνειδητοποιήσουμε την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 xml:space="preserve">ανάγκη προσεγγίσεως της </w:t>
      </w:r>
      <w:proofErr w:type="spellStart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υψοποιού</w:t>
      </w:r>
      <w:proofErr w:type="spellEnd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 xml:space="preserve"> ταπεινώσεως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, την οποία κάθε χριστιανός πρέπει να επιδιώκει μέσα στην περίοδο της αγίας Τεσσαρακοστής και κατ' επέκταση στη ζωή του.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lastRenderedPageBreak/>
        <w:t xml:space="preserve">Ο ταπεινός άνθρωπος δεν κινδυνεύει να πέσει. «Ο υποκάτω πάντων ων, που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πεσείται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;» λέγουν οι Πατέρες. Δηλ. αυτός που τοποθετεί και θεωρεί τον εαυτόν του κάτω - κάτω, χαμηλότερα απ’ όλους, που θα πέσει; Και ο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Μέγας Αντώνιος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 έλεγε: «Είδα όλες τις παγίδες του εχθρού να έχουν απλωθεί πάνω στη γη και είπα λυπημένος: Ποίος άραγε μπορεί να τις αποφύγει; Και άκουσα φωνή πού έλεγε: Η ταπεινοφροσύνη!».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Η Εκκλησία μας θέλοντας να μας διδάξει την ταπείνωση του Τελώνη και να μας προφυλάξει από την υπερηφάνεια του Φαρισαίου, μας καλεί να ψάλλουμε: «Φαρισαίου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φύγωμεν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υψηγορίαν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, και τελώνου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μάθωμεν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τό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ταπεινόν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, εν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στεναγμοίς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πρός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τόν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Σωτήρα». 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  <w:t>Η Κυριακή του Ασώτου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Η</w:t>
      </w:r>
      <w:r w:rsidRPr="002F408D">
        <w:rPr>
          <w:rFonts w:ascii="Verdana" w:eastAsia="Times New Roman" w:hAnsi="Verdana" w:cs="Times New Roman"/>
          <w:color w:val="003366"/>
          <w:sz w:val="24"/>
          <w:szCs w:val="24"/>
          <w:lang w:eastAsia="el-GR"/>
        </w:rPr>
        <w:t> </w:t>
      </w:r>
      <w:hyperlink r:id="rId6" w:history="1">
        <w:r w:rsidRPr="002F408D">
          <w:rPr>
            <w:rFonts w:ascii="Verdana" w:eastAsia="Times New Roman" w:hAnsi="Verdana" w:cs="Times New Roman"/>
            <w:color w:val="888888"/>
            <w:sz w:val="24"/>
            <w:szCs w:val="24"/>
            <w:lang w:eastAsia="el-GR"/>
          </w:rPr>
          <w:t>παραβολή του «Άσωτου Υιού»</w:t>
        </w:r>
      </w:hyperlink>
      <w:r w:rsidRPr="002F408D">
        <w:rPr>
          <w:rFonts w:ascii="Verdana" w:eastAsia="Times New Roman" w:hAnsi="Verdana" w:cs="Times New Roman"/>
          <w:color w:val="003366"/>
          <w:sz w:val="24"/>
          <w:szCs w:val="24"/>
          <w:lang w:eastAsia="el-GR"/>
        </w:rPr>
        <w:t> 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ομιλεί για ένα πλούσιο νέο ο όποιος άσωτα κατασπατάλησε την περιουσία του σε χώρα μακρινή και στο τέλος κατάντησε να βόσκει χοίρους. Τότε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μετανόησε και επέστρεψε στον πατέρα του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, που τον δέχθηκε με άπειρη αγάπη και στοργή.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Η παραβολή είναι ανεξάντλητη σε νοήματα, αφού, όπως λέγεται,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ολόκληρο το έργο της Θείας Οικονομίας ευρίσκεται μέσα σ' αυτή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 Το βαθύτερο νόημα της παραβολής είναι τετραπλό: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br/>
        <w:t>α. Η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απελπιστική κατάσταση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 στην οποία φθάνει ο αμαρτωλός.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br/>
        <w:t>β. Η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ανάγκη μετανοίας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 και τα σωτήρια αποτελέσματα της.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br/>
        <w:t>γ. Το μέγεθος της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θείας Ευσπλαχνίας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 στην οποία μπορούν να στηρίζονται και οι πλέον αμαρτωλοί, ώστε να μη φθάνουν ποτέ στην απελπισία. Κανένα αμάρτημα, όσο μεγάλο κι αν θεωρείται, δεν μπορεί να υπερνικήσει τη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φιλάνθρωπη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γνώμη του Θεού και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br/>
        <w:t>δ. Η αποφυγή του αισθήματος της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αυτάρκειας του δικαιωμένου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, όπως θεωρούσε τον εαυτό του ο πρεσβύτερος υιός.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Εάν λοιπόν συναισθανθούμε την πραγματική πνευματική μας κατάσταση και με ειλικρίνεια ομολογήσουμε τα λάθη μας και την κατασπατάληση των ταλάντων πού μας χάρισε ο Θεός, θα καταλάβουμε ότι αυτή την Κυριακή όλοι μας εορτάζουμε και όλοι, κατά κάποιο τρόπο,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 xml:space="preserve">είμαστε άσωτοι υιοί, </w:t>
      </w:r>
      <w:proofErr w:type="spellStart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απομακρυνθέντες</w:t>
      </w:r>
      <w:proofErr w:type="spellEnd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 xml:space="preserve"> από τον «Οίκον του Ουρανίου Πατρός μας»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 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tbl>
      <w:tblPr>
        <w:tblW w:w="0" w:type="auto"/>
        <w:jc w:val="center"/>
        <w:tblCellSpacing w:w="0" w:type="dxa"/>
        <w:shd w:val="clear" w:color="auto" w:fill="141414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084"/>
      </w:tblGrid>
      <w:tr w:rsidR="002F408D" w:rsidRPr="002F408D" w:rsidTr="002F408D">
        <w:trPr>
          <w:tblCellSpacing w:w="0" w:type="dxa"/>
          <w:jc w:val="center"/>
        </w:trPr>
        <w:tc>
          <w:tcPr>
            <w:tcW w:w="0" w:type="auto"/>
            <w:shd w:val="clear" w:color="auto" w:fill="141414"/>
            <w:vAlign w:val="center"/>
            <w:hideMark/>
          </w:tcPr>
          <w:p w:rsidR="002F408D" w:rsidRPr="002F408D" w:rsidRDefault="002F408D" w:rsidP="002F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888888"/>
                <w:sz w:val="16"/>
                <w:szCs w:val="16"/>
                <w:lang w:eastAsia="el-GR"/>
              </w:rPr>
              <w:lastRenderedPageBreak/>
              <w:drawing>
                <wp:inline distT="0" distB="0" distL="0" distR="0">
                  <wp:extent cx="1851660" cy="2468880"/>
                  <wp:effectExtent l="19050" t="0" r="0" b="0"/>
                  <wp:docPr id="1" name="Εικόνα 1" descr="http://3.bp.blogspot.com/-cT9qVvc-Pfk/TVgxGaYOUVI/AAAAAAAAA3A/CeteB9ib1cQ/s1600/%25CE%25AC%25CF%2583%25CF%2589%25CF%2584%25CE%25BF%25CF%2582+%25CF%2585%25CE%25B9%25CF%258C%25CF%258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cT9qVvc-Pfk/TVgxGaYOUVI/AAAAAAAAA3A/CeteB9ib1cQ/s1600/%25CE%25AC%25CF%2583%25CF%2589%25CF%2584%25CE%25BF%25CF%2582+%25CF%2585%25CE%25B9%25CF%258C%25CF%2582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246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08D" w:rsidRPr="002F408D" w:rsidTr="002F408D">
        <w:trPr>
          <w:tblCellSpacing w:w="0" w:type="dxa"/>
          <w:jc w:val="center"/>
        </w:trPr>
        <w:tc>
          <w:tcPr>
            <w:tcW w:w="0" w:type="auto"/>
            <w:shd w:val="clear" w:color="auto" w:fill="141414"/>
            <w:vAlign w:val="center"/>
            <w:hideMark/>
          </w:tcPr>
          <w:p w:rsidR="002F408D" w:rsidRPr="002F408D" w:rsidRDefault="002F408D" w:rsidP="002F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el-GR"/>
              </w:rPr>
            </w:pPr>
            <w:r w:rsidRPr="002F408D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l-GR"/>
              </w:rPr>
              <w:t>Ο άσωτος υιός γίνεται δεκτός απ' τον Πατέρα του.</w:t>
            </w:r>
          </w:p>
        </w:tc>
      </w:tr>
    </w:tbl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  <w:t> </w:t>
      </w:r>
    </w:p>
    <w:p w:rsidR="002F408D" w:rsidRPr="002F408D" w:rsidRDefault="002F408D" w:rsidP="002F408D">
      <w:pPr>
        <w:shd w:val="clear" w:color="auto" w:fill="141414"/>
        <w:spacing w:after="24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  <w:t>Ψυχοσάββατο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Το Σάββατο πριν από την Κυριακή της Απόκρεω, λέγεται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«Σάββατο των Ψυχών» ή Ψυχοσάββατο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 Είναι το πρώτο απ' τα δύο Ψυχοσάββατα του έτους (το δεύτερο επιτελείται το Σάββατο πριν από την Κυριακή της Πεντηκοστής).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Ο λόγος που το καθιέρωσε η Εκκλησία μας, παρ' ότι κάθε Σάββατο είναι αφιερωμένο στους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κεκοιμημένους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, είναι ο εξής: Επειδή πολλοί κατά καιρούς απέθαναν μικροί ή στην ξενιτιά ή στη θάλασσα ή στα όρη και τους κρημνούς ή και μερικοί, λόγω πτώχειας,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δεν αξιώθηκαν των διατεταγμένων </w:t>
      </w:r>
      <w:hyperlink r:id="rId9" w:history="1">
        <w:r w:rsidRPr="002F408D">
          <w:rPr>
            <w:rFonts w:ascii="Verdana" w:eastAsia="Times New Roman" w:hAnsi="Verdana" w:cs="Times New Roman"/>
            <w:b/>
            <w:bCs/>
            <w:color w:val="888888"/>
            <w:sz w:val="24"/>
            <w:szCs w:val="24"/>
            <w:lang w:eastAsia="el-GR"/>
          </w:rPr>
          <w:t>μνημοσυνών</w:t>
        </w:r>
      </w:hyperlink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, «οι θείοι Πατέρες φιλανθρώπως κινούμενοι θέσπισαν το μνημόσυνο αυτό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 xml:space="preserve">υπέρ πάντων των </w:t>
      </w:r>
      <w:proofErr w:type="spellStart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άπ</w:t>
      </w:r>
      <w:proofErr w:type="spellEnd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 xml:space="preserve">' αιώνος </w:t>
      </w:r>
      <w:proofErr w:type="spellStart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εύσεβώς</w:t>
      </w:r>
      <w:proofErr w:type="spellEnd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 xml:space="preserve"> </w:t>
      </w:r>
      <w:proofErr w:type="spellStart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τελευτησάντων</w:t>
      </w:r>
      <w:proofErr w:type="spellEnd"/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 xml:space="preserve"> Χριστιανών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».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Επειδή την Κυριακή της Απόκρεω ποιούμε ανάμνηση της Δευτέρας Παρουσίας του Χριστού και οι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κεκοιμημένοι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μας ακόμη δεν κρίθηκαν, τους μνημονεύουμε σήμερα και, επικαλούμενοι το άπειρο έλεος Του,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παρακαλούμε τον Θεό με το μνημόσυνο πού κάνουμε, να τους αναπαύσει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 Συγχρόνως δε, ενθυμούμενοι και εμείς το θάνατο και «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διεγειρόμεθα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προς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μετάνοιαν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...». 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24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  <w:t>Η Κυριακή της Απόκρεω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Η Κυριακή αυτή λέγεται έτσι, διότι από την επόμενη ήμερα (Δευτέρα) απέχουμε κρέατος. Δηλ. η Κυριακή της Απόκρεω είναι η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τελευταία ημέρα της κρεοφαγίας μέχρι το Πάσχα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 και δεν επιτρέπεται ή κατάλυση κρέατος, εκτός αν πρόκειται για άρρωστους.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Οι θείοι Πατέρες έταξαν αυτή την Κυριακή να γίνεται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ανάμνηση της Δευτέρας Παρουσίας του Χριστού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 για να θυμόμαστε, όχι μόνο τη φιλανθρωπία Του (από την Κυριακή του Άσωτου), αλλά και τη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δικαιοσύνη Του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 στην κρίση που θα γίνει μερικώς την ήμερα του θανάτου μας και τελικώς - τελεσιδίκως στη Δευτέρα Παρουσία Του. 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24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  <w:t>Το Σάββατο των Οσίων Πατέρων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lastRenderedPageBreak/>
        <w:t>Μετά την προηγηθείσα (με τα προηγούμενα) παιδαγωγία, οι Θεοφόροι Πατέρες, μας προβάλλουν ήδη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προς μίμηση και παρηγοριά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 όλους τους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διαλάμψαντες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οσίους και θεοφόρους Πατέρες και Μητέρες - Μοναχούς και Μοναχές πού αγίασαν με νηστεία - αγρυπνία - προσευχή και ταπείνωση.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Όλοι αυτοί που αποτελούν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παραδείγματα αγώνος και μετανοίας μας παρακινούν και μας προτρέπουν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 στον πνευματικό αγώνα που αρχίζει, προς απόκτηση των αρετών, απόρριψη των κακιών και τελική κατάκτηση «των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έπηγγελμένων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ημίν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αγαθών» (εγκόσμιων και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υπερκοσμίων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).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Κακώς επικράτησε να θεωρούνται το Σάββατο αυτό και το Α' Σάββατο των Νηστειών (του θαύματος του Αγίου Θεοδώρου) ως Ψυχοσάββατα. 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p w:rsidR="00B46E0F" w:rsidRDefault="00B46E0F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l-GR"/>
        </w:rPr>
        <w:t>Η Κυριακή της Τυροφάγου</w:t>
      </w:r>
    </w:p>
    <w:p w:rsidR="002F408D" w:rsidRPr="002F408D" w:rsidRDefault="002F408D" w:rsidP="002F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jc w:val="center"/>
        <w:tblCellSpacing w:w="0" w:type="dxa"/>
        <w:shd w:val="clear" w:color="auto" w:fill="141414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538"/>
      </w:tblGrid>
      <w:tr w:rsidR="002F408D" w:rsidRPr="002F408D" w:rsidTr="002F408D">
        <w:trPr>
          <w:tblCellSpacing w:w="0" w:type="dxa"/>
          <w:jc w:val="center"/>
        </w:trPr>
        <w:tc>
          <w:tcPr>
            <w:tcW w:w="0" w:type="auto"/>
            <w:shd w:val="clear" w:color="auto" w:fill="141414"/>
            <w:vAlign w:val="center"/>
            <w:hideMark/>
          </w:tcPr>
          <w:p w:rsidR="002F408D" w:rsidRPr="002F408D" w:rsidRDefault="002F408D" w:rsidP="002F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888888"/>
                <w:sz w:val="16"/>
                <w:szCs w:val="16"/>
                <w:lang w:eastAsia="el-GR"/>
              </w:rPr>
              <w:drawing>
                <wp:inline distT="0" distB="0" distL="0" distR="0">
                  <wp:extent cx="1531620" cy="1905000"/>
                  <wp:effectExtent l="19050" t="0" r="0" b="0"/>
                  <wp:docPr id="3" name="Εικόνα 3" descr="http://2.bp.blogspot.com/-CwpO4V4Rfas/TVgsd2A3pyI/AAAAAAAAA24/78E68Ow3XTc/s200/%25CE%25BA%25CE%25B5%25CF%2586%25CE%25B1%25CE%25BB%25CE%25BF%25CF%2584%25CF%258D%25CF%2581%25CE%25B9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.bp.blogspot.com/-CwpO4V4Rfas/TVgsd2A3pyI/AAAAAAAAA24/78E68Ow3XTc/s200/%25CE%25BA%25CE%25B5%25CF%2586%25CE%25B1%25CE%25BB%25CE%25BF%25CF%2584%25CF%258D%25CF%2581%25CE%25B9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08D" w:rsidRPr="002F408D" w:rsidTr="002F408D">
        <w:trPr>
          <w:tblCellSpacing w:w="0" w:type="dxa"/>
          <w:jc w:val="center"/>
        </w:trPr>
        <w:tc>
          <w:tcPr>
            <w:tcW w:w="0" w:type="auto"/>
            <w:shd w:val="clear" w:color="auto" w:fill="141414"/>
            <w:vAlign w:val="center"/>
            <w:hideMark/>
          </w:tcPr>
          <w:p w:rsidR="002F408D" w:rsidRPr="002F408D" w:rsidRDefault="002F408D" w:rsidP="002F4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el-GR"/>
              </w:rPr>
            </w:pPr>
            <w:r w:rsidRPr="002F408D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l-GR"/>
              </w:rPr>
              <w:t>(</w:t>
            </w:r>
            <w:proofErr w:type="spellStart"/>
            <w:r w:rsidRPr="002F408D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l-GR"/>
              </w:rPr>
              <w:t>Φωτο</w:t>
            </w:r>
            <w:proofErr w:type="spellEnd"/>
            <w:r w:rsidRPr="002F408D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l-GR"/>
              </w:rPr>
              <w:t xml:space="preserve"> από </w:t>
            </w:r>
            <w:hyperlink r:id="rId12" w:history="1">
              <w:r w:rsidRPr="002F408D">
                <w:rPr>
                  <w:rFonts w:ascii="Verdana" w:eastAsia="Times New Roman" w:hAnsi="Verdana" w:cs="Arial"/>
                  <w:color w:val="888888"/>
                  <w:sz w:val="20"/>
                  <w:lang w:eastAsia="el-GR"/>
                </w:rPr>
                <w:t>εδώ</w:t>
              </w:r>
            </w:hyperlink>
            <w:r w:rsidRPr="002F408D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l-GR"/>
              </w:rPr>
              <w:t>)</w:t>
            </w:r>
          </w:p>
        </w:tc>
      </w:tr>
    </w:tbl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Μετά τη διακοπή της κρεοφαγίας, αυτή την εβδομάδα (τρίτη του Τριωδίου),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όλες τις ημέρες της, τρώμε τυροκομικά, αυγά και ψάρια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 Γι' αυτό ονομάστηκε «Τυροφάγου» ή «Τυρινής».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Η Εκκλησία μας, χωρίς να θεωρεί μολυσμένη καμία τροφή, επιτρέπει τη βρώση γάλακτος και αυγών και όχι το πρόβατο ή το κοτόπουλο, που τα παράγουν, διότι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διακρίνει τις τροφές σε περισσότερο και ολιγότερο βοηθητικές στην εγκράτεια και κατά καιρούς άλλες επιτρέπει και άλλες απαγορεύει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Μαζί με τη νηστεία λοιπόν, που αρχίζει μερικώς και σταδιακώς από την εβδομάδα αυτή, η Εκκλησία φέρει ενώπιον μας και μας θυμίζει με τα τροπάρια αυτής της Κυριακής, την </w:t>
      </w:r>
      <w:hyperlink r:id="rId13" w:history="1">
        <w:r w:rsidRPr="002F408D">
          <w:rPr>
            <w:rFonts w:ascii="Verdana" w:eastAsia="Times New Roman" w:hAnsi="Verdana" w:cs="Times New Roman"/>
            <w:b/>
            <w:bCs/>
            <w:color w:val="888888"/>
            <w:sz w:val="24"/>
            <w:szCs w:val="24"/>
            <w:lang w:eastAsia="el-GR"/>
          </w:rPr>
          <w:t>εξορία των Πρωτοπλάστων</w:t>
        </w:r>
      </w:hyperlink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> από τον Παράδεισο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, που έγινε λόγω της παρακοής τους (δεν τήρησαν τη νηστεία, σχετικά με τον απαγορευμένο καρπό). Αντί του Παραδείσου και της αιωνιότητας, βρήκαν το θάνατο.</w:t>
      </w:r>
    </w:p>
    <w:p w:rsidR="002F408D" w:rsidRPr="002F408D" w:rsidRDefault="002F408D" w:rsidP="002F408D">
      <w:pPr>
        <w:shd w:val="clear" w:color="auto" w:fill="141414"/>
        <w:spacing w:after="0" w:line="240" w:lineRule="auto"/>
        <w:rPr>
          <w:rFonts w:ascii="Verdana" w:eastAsia="Times New Roman" w:hAnsi="Verdana" w:cs="Times New Roman"/>
          <w:color w:val="FFFFFF"/>
          <w:sz w:val="16"/>
          <w:szCs w:val="16"/>
          <w:lang w:eastAsia="el-GR"/>
        </w:rPr>
      </w:pP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Και εμείς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καλούμεθα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(με την υμνολογία της ημέρας) αυτό που έχασε ο Αδάμ με την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ακρασία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(ανυπακοή, αμετανοησία, εγωισμό και γαστριμαργία), 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t xml:space="preserve">να το κερδίσουμε με την εγκράτεια (υπακοή, </w:t>
      </w:r>
      <w:r w:rsidRPr="002F408D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el-GR"/>
        </w:rPr>
        <w:lastRenderedPageBreak/>
        <w:t>μετάνοια, ταπείνωση και νηστεία) </w:t>
      </w:r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. Γι' αυτό η Εκκλησία μας αυτή την Κυριακή μας τονίζει ότι: «Το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στάδιον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των αρετών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ηνέωκται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(άνοιξε) οι βουλόμενοι </w:t>
      </w:r>
      <w:proofErr w:type="spellStart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αθλήσαι</w:t>
      </w:r>
      <w:proofErr w:type="spellEnd"/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 xml:space="preserve"> (όσοι θέλουν ν' αγωνιστούν) εισέλθετε...», ώστε, όσοι είναι καλοπροαίρετοι, ν' αρχίσουν με όρεξη και χαρά τον αγώνα της </w:t>
      </w:r>
      <w:hyperlink r:id="rId14" w:history="1">
        <w:r w:rsidRPr="002F408D">
          <w:rPr>
            <w:rFonts w:ascii="Verdana" w:eastAsia="Times New Roman" w:hAnsi="Verdana" w:cs="Times New Roman"/>
            <w:color w:val="888888"/>
            <w:sz w:val="24"/>
            <w:szCs w:val="24"/>
            <w:lang w:eastAsia="el-GR"/>
          </w:rPr>
          <w:t>Τεσσαρακοστής</w:t>
        </w:r>
      </w:hyperlink>
      <w:r w:rsidRPr="002F408D">
        <w:rPr>
          <w:rFonts w:ascii="Verdana" w:eastAsia="Times New Roman" w:hAnsi="Verdana" w:cs="Times New Roman"/>
          <w:color w:val="FFFFFF"/>
          <w:sz w:val="24"/>
          <w:szCs w:val="24"/>
          <w:lang w:eastAsia="el-GR"/>
        </w:rPr>
        <w:t>. </w:t>
      </w:r>
    </w:p>
    <w:p w:rsidR="002F408D" w:rsidRPr="002F408D" w:rsidRDefault="002F408D"/>
    <w:sectPr w:rsidR="002F408D" w:rsidRPr="002F408D" w:rsidSect="006774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08D"/>
    <w:rsid w:val="00156D74"/>
    <w:rsid w:val="00284688"/>
    <w:rsid w:val="002F408D"/>
    <w:rsid w:val="0035786F"/>
    <w:rsid w:val="0067742E"/>
    <w:rsid w:val="006C5BB3"/>
    <w:rsid w:val="00B4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2E"/>
  </w:style>
  <w:style w:type="paragraph" w:styleId="3">
    <w:name w:val="heading 3"/>
    <w:basedOn w:val="a"/>
    <w:link w:val="3Char"/>
    <w:uiPriority w:val="9"/>
    <w:qFormat/>
    <w:rsid w:val="002F4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rsid w:val="002F408D"/>
  </w:style>
  <w:style w:type="character" w:styleId="-">
    <w:name w:val="Hyperlink"/>
    <w:basedOn w:val="a0"/>
    <w:uiPriority w:val="99"/>
    <w:unhideWhenUsed/>
    <w:rsid w:val="002F408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F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08D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2F408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-nekros.blogspot.com/2010/11/blog-post_726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3.bp.blogspot.com/-cT9qVvc-Pfk/TVgxGaYOUVI/AAAAAAAAA3A/CeteB9ib1cQ/s1600/%CE%AC%CF%83%CF%89%CF%84%CE%BF%CF%82+%CF%85%CE%B9%CF%8C%CF%82.jpg" TargetMode="External"/><Relationship Id="rId12" Type="http://schemas.openxmlformats.org/officeDocument/2006/relationships/hyperlink" Target="http://sfrang.com/selides/multimedia/tyria/02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xfd.gr/%CE%BA%CF%85%CF%81%CE%B9%CE%B1%CE%BA%CE%AD%CF%82/%CE%B5%CF%85%CE%B1%CE%B3%CE%B3%CE%AD%CE%BB%CE%B9%CE%BF/%CE%B7-%CF%80%CE%B1%CF%81%CE%B1%CE%B2%CE%BF%CE%BB%CE%AE-%CF%84%CE%BF%CF%85-%CE%B1%CF%83%CF%8E%CF%84%CE%BF%CF%85-%CF%85%CE%B9%CE%BF%CF%8D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2.bp.blogspot.com/-CwpO4V4Rfas/TVgsd2A3pyI/AAAAAAAAA24/78E68Ow3XTc/s1600/%CE%BA%CE%B5%CF%86%CE%B1%CE%BB%CE%BF%CF%84%CF%8D%CF%81%CE%B9.jpg" TargetMode="External"/><Relationship Id="rId4" Type="http://schemas.openxmlformats.org/officeDocument/2006/relationships/hyperlink" Target="https://www.slideshare.net/soultanagargana/ss-30996768" TargetMode="External"/><Relationship Id="rId9" Type="http://schemas.openxmlformats.org/officeDocument/2006/relationships/hyperlink" Target="http://www.oodegr.com/oode/orthod/mnimosyna2.htm" TargetMode="External"/><Relationship Id="rId14" Type="http://schemas.openxmlformats.org/officeDocument/2006/relationships/hyperlink" Target="http://nisteia.wordpress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1341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2021-02-20T20:39:00Z</dcterms:created>
  <dcterms:modified xsi:type="dcterms:W3CDTF">2021-02-21T11:58:00Z</dcterms:modified>
</cp:coreProperties>
</file>