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9779B" w14:textId="64C5E0C4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1DFB1F9" wp14:editId="4DBB508F">
            <wp:extent cx="450376" cy="450376"/>
            <wp:effectExtent l="0" t="0" r="6985" b="6985"/>
            <wp:docPr id="8" name="Graphic 8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Bank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1" cy="4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                         </w:t>
      </w:r>
      <w:r w:rsidRPr="001A0203">
        <w:rPr>
          <w:rFonts w:ascii="Arial" w:hAnsi="Arial" w:cs="Arial"/>
          <w:b/>
          <w:bCs/>
        </w:rPr>
        <w:t>Ονοματικοί προσδιορισμοί</w:t>
      </w:r>
    </w:p>
    <w:p w14:paraId="6EDE51FE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 w:rsidRPr="001A0203">
        <w:rPr>
          <w:rFonts w:ascii="Arial" w:hAnsi="Arial" w:cs="Arial"/>
          <w:b/>
          <w:bCs/>
        </w:rPr>
        <w:t>Ονοματικοί ομοιόπτωτοι προσδιορισμοί</w:t>
      </w:r>
    </w:p>
    <w:p w14:paraId="61FC718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54F3E082" wp14:editId="2AF8B5D1">
            <wp:extent cx="232012" cy="232012"/>
            <wp:effectExtent l="0" t="0" r="0" b="0"/>
            <wp:docPr id="15" name="Graphic 15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Παράθεση</w:t>
      </w:r>
    </w:p>
    <w:p w14:paraId="2C9D778E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Είναι ένα ουσιαστικό ή ουσιαστικοποιημένη λέξη που τίθεται ως ομοιόπτωτος προσδιορισμός ενός άλλου ουσιαστικού. Π.χ.  Λύσανδρος ὁ ναύαρχος ἐπολιόρκει τὰς Ἀθήνας.</w:t>
      </w:r>
    </w:p>
    <w:p w14:paraId="30005F0C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Του προσθέτει ένα κύριο και γνωστό γνώρισμα ή απλώς το χαρακτηρίζει</w:t>
      </w:r>
    </w:p>
    <w:p w14:paraId="194B2EB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όταν δίνεται στο ουσιαστικό που προσδιορίζεται ένα κύριο και γνωστό γνώρισμα στην παράθεση πηγαίνουμε </w:t>
      </w:r>
      <w:r w:rsidRPr="001A0203">
        <w:rPr>
          <w:rFonts w:ascii="Arial" w:hAnsi="Arial" w:cs="Arial"/>
          <w:b/>
          <w:bCs/>
        </w:rPr>
        <w:t>από μερικές σε γενικές έννοιες</w:t>
      </w:r>
      <w:r w:rsidRPr="001A0203">
        <w:rPr>
          <w:rFonts w:ascii="Arial" w:hAnsi="Arial" w:cs="Arial"/>
        </w:rPr>
        <w:t>. Π.χ. Ὁ Σωκράτης, ὁ γλύπτης,  καθεύδει.</w:t>
      </w:r>
    </w:p>
    <w:p w14:paraId="744D11A0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η παράθεση μπορεί να αναλυθεί σε αναφορική πρόταση (ο οποίος, που)</w:t>
      </w:r>
    </w:p>
    <w:p w14:paraId="4BAA28D3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παράθεση , εκτός από ουσιαστικά δέχονται και οι αντωνυμίες (κυρίως προσωπικές και δεικτικές) αλλά και άλλα μέρη του λόγου ή και μια ολόκληρη πρόταση. Ἡμεῖς, οἱ Ἕλληνες</w:t>
      </w:r>
      <w:r>
        <w:rPr>
          <w:rFonts w:ascii="Arial" w:hAnsi="Arial" w:cs="Arial"/>
        </w:rPr>
        <w:t>.</w:t>
      </w:r>
      <w:r w:rsidRPr="001A0203">
        <w:rPr>
          <w:rFonts w:ascii="Arial" w:hAnsi="Arial" w:cs="Arial"/>
        </w:rPr>
        <w:t xml:space="preserve"> </w:t>
      </w:r>
    </w:p>
    <w:p w14:paraId="59ED10AD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Τούτους, τοὺς πρέσβεις.</w:t>
      </w:r>
    </w:p>
    <w:p w14:paraId="76A59782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ως παράθεση ενός ουσιαστικού μπορούν να τεθούν και περισσότερα του ενός ουσιαστικά (Ἀλέξανδρος, ὁ Φιλίππου, Μακεδών)</w:t>
      </w:r>
    </w:p>
    <w:p w14:paraId="53490D92" w14:textId="77777777" w:rsidR="00791900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η παράθεση που προσδιορίζει μια ολόκληρη πρόταση κανονικά προτάσσεται και γι’ αυτό λέγεται προεξαγγελτική παράθεση (συνήθως χρησιμοποιούνται οι φράσεις: τό λεγόμενον, τό μέγιστον, τό δεινότατον, τοὐναντίον κ.τ.λ., ουδέτερα ουσιαστικοποιημένων μετοχών, επιθέτων και φράσεων, αναφορική πρόταση που εισάγεται με το ὁ) </w:t>
      </w:r>
    </w:p>
    <w:p w14:paraId="49B24E30" w14:textId="52E5C1CF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Ὁ Ἀρμένιος ἐξεπλάγη, καὶ τὸ μέγιστον, ἐφοβεῖτο ὅτι ἔμελλεν ὀφθήσεσθαι</w:t>
      </w:r>
    </w:p>
    <w:p w14:paraId="586E59E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(= Ο Αρμένιος τα έχασε, και το σπουδαιότερο απ' όλα, φοβόταν γιατί επρόκειτο να τον δουν.)</w:t>
      </w:r>
    </w:p>
    <w:p w14:paraId="1C7CFF24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2263E905" wp14:editId="6DEF3357">
            <wp:extent cx="232012" cy="232012"/>
            <wp:effectExtent l="0" t="0" r="0" b="0"/>
            <wp:docPr id="14" name="Graphic 14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Επεξήγηση</w:t>
      </w:r>
    </w:p>
    <w:p w14:paraId="0254CF57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όταν επεξηγεί, διασαφηνίζει την έννοια του ουσιαστικού που προσδιορίζει, η οποία είναι γενική και αόριστη</w:t>
      </w:r>
      <w:r>
        <w:rPr>
          <w:rFonts w:ascii="Arial" w:hAnsi="Arial" w:cs="Arial"/>
        </w:rPr>
        <w:t xml:space="preserve"> και πηγαίνουμε </w:t>
      </w:r>
      <w:r w:rsidRPr="001A0203">
        <w:rPr>
          <w:rFonts w:ascii="Arial" w:hAnsi="Arial" w:cs="Arial"/>
          <w:b/>
          <w:bCs/>
        </w:rPr>
        <w:t>από γενικές σε ειδικές έννοιες</w:t>
      </w:r>
      <w:r>
        <w:rPr>
          <w:rFonts w:ascii="Arial" w:hAnsi="Arial" w:cs="Arial"/>
        </w:rPr>
        <w:t>.</w:t>
      </w:r>
    </w:p>
    <w:p w14:paraId="0AA2E61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μεταφράζεται με το «δηλαδή». Π.χ. Ὁ βασιλεύς, ὁ Ἀλέξανδρος, ἐπολιόρκει τὴν πόλιν, τὴν Τῦρον.</w:t>
      </w:r>
    </w:p>
    <w:p w14:paraId="2662D881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ως επεξήγηση μπορεί να χρησιμοποιηθεί  όχι μόνο ουσιαστικό αλλά και άλλη λέξη ή και ολόκληρη πρόταση</w:t>
      </w:r>
    </w:p>
    <w:p w14:paraId="26089D24" w14:textId="77777777" w:rsidR="00791900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επεξήγηση, εκτός από ουσιαστικά δέχονται και οι αντωνυμίες. </w:t>
      </w:r>
    </w:p>
    <w:p w14:paraId="3918A1E6" w14:textId="349A7F0B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Περικλῆς τούτων ἐγένετο μαθητής, Ἀναξαγόρου καὶ Δάμωνος.  (= Ο Περικλής υπήρξε μαθητής αυτών, του Αναξαγόρα και του Δάμωνα)</w:t>
      </w:r>
    </w:p>
    <w:p w14:paraId="0107C55E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C91783C" wp14:editId="43BE515D">
            <wp:extent cx="232012" cy="232012"/>
            <wp:effectExtent l="0" t="0" r="0" b="0"/>
            <wp:docPr id="13" name="Graphic 13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 xml:space="preserve">Επιθετικός προσδιορισμός </w:t>
      </w:r>
    </w:p>
    <w:p w14:paraId="222B69FD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λέγεται το επίθετο που προσδιορίζει ένα ουσιαστικό και φανερώνει μια μόνιμη ιδιότητά του</w:t>
      </w:r>
    </w:p>
    <w:p w14:paraId="768DC349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συμφωνεί με το ουσιαστικό που προσδιορίζει στο γένος, στον αριθμό και στην πτώση. </w:t>
      </w:r>
    </w:p>
    <w:p w14:paraId="3789AB96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Τὴν δὲ ἑλληνικὴν δύναμιν ἤθροιζεν.</w:t>
      </w:r>
    </w:p>
    <w:p w14:paraId="3788767B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ως επιθετικοί προσδιορισμοί εκτός από τα επίθετα χρησιμοποιούνται: αντωνυμίες, αριθμητικά, μετοχές, ουσιαστικά που δηλώνουν ηλικία, επάγγελμα, εθνικότητα, κύρια ονόματα γεωγραφικών όρων του ίδιου γένους και αριθμού που προτάσσονται με το άρθρο. π.χ. Ἡ Ἀχερουσία λίμνη. Ἄνδρες Ἀθηναῖοι. Ἡ ζημία ἦν χίλιαι μναῖ. Οἱ χειροτονούμενοι στρατηγοὶ δέκα ἦσαν. Ὁ τοῦ βασιλέως θρόνος</w:t>
      </w:r>
    </w:p>
    <w:p w14:paraId="0936101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77444622" wp14:editId="11436F08">
            <wp:extent cx="232012" cy="232012"/>
            <wp:effectExtent l="0" t="0" r="0" b="0"/>
            <wp:docPr id="12" name="Graphic 12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Κατηγορηματικός προσδιορισμός</w:t>
      </w:r>
    </w:p>
    <w:p w14:paraId="7A153B04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εκφέρεται με επίθετο ή μετοχή και αποδίδει στο ουσιαστικό που προσδιορίζει μια παροδική ιδιότητα. </w:t>
      </w:r>
    </w:p>
    <w:p w14:paraId="1B860CC7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Κατέλαβον τὴν πόλιν ἐρήμην.</w:t>
      </w:r>
    </w:p>
    <w:p w14:paraId="0196F536" w14:textId="77777777" w:rsidR="00791900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lastRenderedPageBreak/>
        <w:t>•</w:t>
      </w:r>
      <w:r w:rsidRPr="001A0203">
        <w:rPr>
          <w:rFonts w:ascii="Arial" w:hAnsi="Arial" w:cs="Arial"/>
        </w:rPr>
        <w:tab/>
        <w:t xml:space="preserve">ως κατηγορηματικοί προσδιορισμοί χρησιμοποιούνται συνήθως τα επίθετα: </w:t>
      </w:r>
      <w:r w:rsidRPr="001A0203">
        <w:rPr>
          <w:rFonts w:ascii="Arial" w:hAnsi="Arial" w:cs="Arial"/>
          <w:b/>
          <w:bCs/>
        </w:rPr>
        <w:t>ἄκρος, μέσος, ἔσχατος, πᾶς, ἅπας, ὅλος, μόνος, αὐτός, ἕκαστος</w:t>
      </w:r>
      <w:r w:rsidRPr="001A0203">
        <w:rPr>
          <w:rFonts w:ascii="Arial" w:hAnsi="Arial" w:cs="Arial"/>
        </w:rPr>
        <w:t xml:space="preserve"> (με άρθρο τα παραπάνω επίθετα χρησιμοποιούνται ως επιθετικοί προσδιορισμοί και έχουν άλλη σημασία). </w:t>
      </w:r>
    </w:p>
    <w:p w14:paraId="00A4FFBF" w14:textId="3381473E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 Πάντες οἱ πολῖται μετεῖχον τῆς ἑορτῆς.</w:t>
      </w:r>
    </w:p>
    <w:p w14:paraId="63FA8AC4" w14:textId="002DB89A" w:rsidR="00800B3B" w:rsidRDefault="00800B3B"/>
    <w:p w14:paraId="56E40122" w14:textId="77777777" w:rsidR="00800B3B" w:rsidRPr="001A0203" w:rsidRDefault="00800B3B" w:rsidP="00800B3B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1A0203">
        <w:rPr>
          <w:rFonts w:ascii="Arial" w:hAnsi="Arial" w:cs="Arial"/>
          <w:b/>
          <w:bCs/>
        </w:rPr>
        <w:t>Ονοματικοί ετερόπτωτοι προσδιορισμοί : Πλάγιες πτώσεις</w:t>
      </w:r>
    </w:p>
    <w:p w14:paraId="040C54AA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7258B1E" wp14:editId="4656AF80">
            <wp:extent cx="232012" cy="232012"/>
            <wp:effectExtent l="0" t="0" r="0" b="0"/>
            <wp:docPr id="11" name="Graphic 11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Γενική</w:t>
      </w:r>
    </w:p>
    <w:p w14:paraId="6818B308" w14:textId="55CE6FAD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προσδιορίζει ουσιαστικά κι επίθετα και είναι: </w:t>
      </w:r>
      <w:r w:rsidRPr="00C80B58">
        <w:rPr>
          <w:rFonts w:ascii="Arial" w:hAnsi="Arial" w:cs="Arial"/>
          <w:b/>
          <w:bCs/>
        </w:rPr>
        <w:t>κτητική,</w:t>
      </w:r>
      <w:r w:rsidR="00FA64A2">
        <w:rPr>
          <w:rFonts w:ascii="Arial" w:hAnsi="Arial" w:cs="Arial"/>
          <w:b/>
          <w:bCs/>
        </w:rPr>
        <w:t xml:space="preserve"> του δημιουργού,</w:t>
      </w:r>
      <w:r w:rsidRPr="00C80B58">
        <w:rPr>
          <w:rFonts w:ascii="Arial" w:hAnsi="Arial" w:cs="Arial"/>
          <w:b/>
          <w:bCs/>
        </w:rPr>
        <w:t xml:space="preserve"> διαιρετική, της ύλης, του περιεχομένου, της ιδιότητας, της αξίας, της αιτίας,</w:t>
      </w:r>
      <w:r w:rsidR="00FA64A2">
        <w:rPr>
          <w:rFonts w:ascii="Arial" w:hAnsi="Arial" w:cs="Arial"/>
          <w:b/>
          <w:bCs/>
        </w:rPr>
        <w:t xml:space="preserve"> συγκριτική,</w:t>
      </w:r>
      <w:r w:rsidRPr="00C80B58">
        <w:rPr>
          <w:rFonts w:ascii="Arial" w:hAnsi="Arial" w:cs="Arial"/>
          <w:b/>
          <w:bCs/>
        </w:rPr>
        <w:t xml:space="preserve"> υποκειμενική, αντικειμενική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0"/>
        <w:gridCol w:w="2840"/>
      </w:tblGrid>
      <w:tr w:rsidR="00800B3B" w14:paraId="18905DA0" w14:textId="77777777" w:rsidTr="003A6E79">
        <w:tc>
          <w:tcPr>
            <w:tcW w:w="7088" w:type="dxa"/>
          </w:tcPr>
          <w:p w14:paraId="1699195E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 xml:space="preserve">Κτητική: </w:t>
            </w:r>
            <w:r>
              <w:rPr>
                <w:rFonts w:ascii="Arial" w:hAnsi="Arial" w:cs="Arial"/>
              </w:rPr>
              <w:t>ἡ οἰκία τοῦ Δημοσθένους, τό πινάκιον τοῦ μαθητοῦ</w:t>
            </w:r>
          </w:p>
          <w:p w14:paraId="0A6EEE5D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bookmarkStart w:id="0" w:name="_Hlk55601329"/>
            <w:r w:rsidRPr="001A0203">
              <w:rPr>
                <w:rFonts w:ascii="Arial" w:hAnsi="Arial" w:cs="Arial"/>
              </w:rPr>
              <w:t>Του δημιουργού</w:t>
            </w:r>
            <w:bookmarkEnd w:id="0"/>
            <w:r w:rsidRPr="001A0203">
              <w:rPr>
                <w:rFonts w:ascii="Arial" w:hAnsi="Arial" w:cs="Arial"/>
              </w:rPr>
              <w:t>: τά ἕπη τοῦ Ὁμήρου</w:t>
            </w:r>
          </w:p>
          <w:p w14:paraId="5CBB16A3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Διαιρετική: ἑξήκοντα τῶν νεῶν.</w:t>
            </w:r>
          </w:p>
          <w:p w14:paraId="1060558B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Της ύλης:  νόμισμα ἀργύρου.</w:t>
            </w:r>
          </w:p>
          <w:p w14:paraId="5ABE5F4E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Του περιεχομένου:  ἡ στρατιά τῶν Ἑλλήνων.</w:t>
            </w:r>
          </w:p>
          <w:p w14:paraId="545B1AD0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της ιδιότητας: παῖς τριῶν ἐτῶν</w:t>
            </w:r>
          </w:p>
          <w:p w14:paraId="4620717B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της αξίας: οἰκία ἑνός ταλάντου ἀξία</w:t>
            </w:r>
          </w:p>
          <w:p w14:paraId="65AE664E" w14:textId="77777777" w:rsidR="00800B3B" w:rsidRDefault="00800B3B" w:rsidP="003A6E79">
            <w:pPr>
              <w:rPr>
                <w:rFonts w:ascii="Arial" w:hAnsi="Arial" w:cs="Arial"/>
              </w:rPr>
            </w:pPr>
            <w:r w:rsidRPr="001A0203">
              <w:rPr>
                <w:rFonts w:ascii="Arial" w:hAnsi="Arial" w:cs="Arial"/>
              </w:rPr>
              <w:t>Της αιτίας:  μεγάλων ἀδικημάτων ὀργή.</w:t>
            </w:r>
          </w:p>
          <w:p w14:paraId="6E97AA61" w14:textId="77777777" w:rsidR="00800B3B" w:rsidRPr="001A0203" w:rsidRDefault="00800B3B" w:rsidP="003A6E79">
            <w:pPr>
              <w:rPr>
                <w:rFonts w:ascii="Arial" w:hAnsi="Arial" w:cs="Arial"/>
              </w:rPr>
            </w:pPr>
            <w:bookmarkStart w:id="1" w:name="_Hlk55601406"/>
            <w:r w:rsidRPr="00BD68F8">
              <w:rPr>
                <w:rFonts w:ascii="Arial" w:hAnsi="Arial" w:cs="Arial"/>
              </w:rPr>
              <w:t>Συγκριτική</w:t>
            </w:r>
            <w:bookmarkEnd w:id="1"/>
            <w:r w:rsidRPr="00BD68F8">
              <w:rPr>
                <w:rFonts w:ascii="Arial" w:hAnsi="Arial" w:cs="Arial"/>
              </w:rPr>
              <w:t>:  ὁ Ὄλυμπος ὑψηλότερος τῆς Ὄσσας ἐστίν.</w:t>
            </w:r>
          </w:p>
          <w:p w14:paraId="4B704898" w14:textId="77777777" w:rsidR="00800B3B" w:rsidRDefault="00800B3B" w:rsidP="003A6E79">
            <w:pPr>
              <w:rPr>
                <w:rFonts w:ascii="Arial" w:hAnsi="Arial" w:cs="Arial"/>
              </w:rPr>
            </w:pPr>
            <w:r w:rsidRPr="00BD68F8">
              <w:rPr>
                <w:rFonts w:ascii="Arial" w:hAnsi="Arial" w:cs="Arial"/>
              </w:rPr>
              <w:t>Υποκειμενική:  ἡ νίκη τῶν Ἑλλήνων</w:t>
            </w:r>
          </w:p>
        </w:tc>
        <w:tc>
          <w:tcPr>
            <w:tcW w:w="2683" w:type="dxa"/>
          </w:tcPr>
          <w:p w14:paraId="2D9DC4B7" w14:textId="77777777" w:rsidR="00800B3B" w:rsidRDefault="00800B3B" w:rsidP="003A6E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97A4C9" wp14:editId="029959FC">
                  <wp:extent cx="1666847" cy="139104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47" cy="139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47EFD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BD68F8">
        <w:rPr>
          <w:rFonts w:ascii="Arial" w:hAnsi="Arial" w:cs="Arial"/>
        </w:rPr>
        <w:t xml:space="preserve">  </w:t>
      </w:r>
      <w:r w:rsidRPr="001A0203">
        <w:rPr>
          <w:rFonts w:ascii="Arial" w:hAnsi="Arial" w:cs="Arial"/>
        </w:rPr>
        <w:t>Αντικειμενική:  ὁ φόβος τῶν Εἱλώτων.</w:t>
      </w:r>
    </w:p>
    <w:p w14:paraId="2B68B522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501DDD68" wp14:editId="24C3B5DA">
            <wp:extent cx="232012" cy="232012"/>
            <wp:effectExtent l="0" t="0" r="0" b="0"/>
            <wp:docPr id="10" name="Graphic 1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Δοτική</w:t>
      </w:r>
    </w:p>
    <w:p w14:paraId="6AF9B1B1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 xml:space="preserve">προσδιορίζει κυρίως επίθετα (σπάνια ουσιαστικά) που σημαίνουν: ωφέλεια, βλάβη, φιλία, έχθρα, υποταγή, ακολουθία, επικοινωνία, ταυτότητα, ομοιότητα, συμφωνία, διαφωνία κ.τ.λ. Ονομάζεται </w:t>
      </w:r>
      <w:r w:rsidRPr="00AC4E6A">
        <w:rPr>
          <w:rFonts w:ascii="Arial" w:hAnsi="Arial" w:cs="Arial"/>
          <w:b/>
          <w:bCs/>
        </w:rPr>
        <w:t>αντικειμενική</w:t>
      </w:r>
      <w:r w:rsidRPr="001A0203">
        <w:rPr>
          <w:rFonts w:ascii="Arial" w:hAnsi="Arial" w:cs="Arial"/>
        </w:rPr>
        <w:t>.</w:t>
      </w:r>
    </w:p>
    <w:p w14:paraId="0822B310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Δοτική </w:t>
      </w:r>
      <w:r w:rsidRPr="001A0203">
        <w:rPr>
          <w:rFonts w:ascii="Arial" w:hAnsi="Arial" w:cs="Arial"/>
        </w:rPr>
        <w:t>Αντικειμενική: ὠφέλιμος τῇ πατρίδι.</w:t>
      </w:r>
    </w:p>
    <w:p w14:paraId="363C25A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κοντά </w:t>
      </w:r>
      <w:r w:rsidRPr="001A0203">
        <w:rPr>
          <w:rFonts w:ascii="Arial" w:hAnsi="Arial" w:cs="Arial"/>
        </w:rPr>
        <w:t xml:space="preserve">σε επίθετα ή ουσιαστικά σημαίνει πολλές φορές αναφορά: </w:t>
      </w:r>
      <w:r w:rsidRPr="00AC4E6A">
        <w:rPr>
          <w:rFonts w:ascii="Arial" w:hAnsi="Arial" w:cs="Arial"/>
          <w:b/>
          <w:bCs/>
        </w:rPr>
        <w:t>δοτική της αναφοράς</w:t>
      </w:r>
    </w:p>
    <w:p w14:paraId="3C7E7F3E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Συγγενεῖς ἐστέ φύσει οὐ νόμῳ.</w:t>
      </w:r>
      <w:r w:rsidRPr="001A0203">
        <w:rPr>
          <w:rFonts w:ascii="Arial" w:hAnsi="Arial" w:cs="Arial"/>
        </w:rPr>
        <w:t xml:space="preserve">    ·        </w:t>
      </w:r>
    </w:p>
    <w:p w14:paraId="5BE4511A" w14:textId="77777777" w:rsidR="00800B3B" w:rsidRPr="001A0203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324393A" wp14:editId="1FB40F0F">
            <wp:extent cx="232012" cy="232012"/>
            <wp:effectExtent l="0" t="0" r="0" b="0"/>
            <wp:docPr id="9" name="Graphic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</w:t>
      </w:r>
      <w:r w:rsidRPr="001A0203">
        <w:rPr>
          <w:rFonts w:ascii="Arial" w:hAnsi="Arial" w:cs="Arial"/>
          <w:b/>
          <w:bCs/>
        </w:rPr>
        <w:t>Αιτιατική</w:t>
      </w:r>
    </w:p>
    <w:p w14:paraId="61083BA5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δεν είναι πολύ συχνή</w:t>
      </w:r>
    </w:p>
    <w:p w14:paraId="13E503A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σημαίνει κυρίως την αναφορά</w:t>
      </w:r>
    </w:p>
    <w:p w14:paraId="53CB02C6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•</w:t>
      </w:r>
      <w:r w:rsidRPr="001A0203">
        <w:rPr>
          <w:rFonts w:ascii="Arial" w:hAnsi="Arial" w:cs="Arial"/>
        </w:rPr>
        <w:tab/>
        <w:t>μεταφράζεται: ως προς, στο…</w:t>
      </w:r>
      <w:r>
        <w:rPr>
          <w:rFonts w:ascii="Arial" w:hAnsi="Arial" w:cs="Arial"/>
        </w:rPr>
        <w:t>, σχετικά με, όσον αφορά…</w:t>
      </w:r>
    </w:p>
    <w:p w14:paraId="2E365A98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AC4E6A">
        <w:rPr>
          <w:rFonts w:ascii="Arial" w:hAnsi="Arial" w:cs="Arial"/>
          <w:b/>
          <w:bCs/>
        </w:rPr>
        <w:t>Της αναφοράς</w:t>
      </w:r>
      <w:r w:rsidRPr="001A0203">
        <w:rPr>
          <w:rFonts w:ascii="Arial" w:hAnsi="Arial" w:cs="Arial"/>
        </w:rPr>
        <w:t>: τυφλός τά τ’ ὦτα τόν τε νοῦν τά τ’ ὄμματα εἶ.</w:t>
      </w:r>
    </w:p>
    <w:p w14:paraId="763E4BF0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Τεῖχος οἰκοδομοῦσιν τό μέν εὖρος πεντήκοντα ποδῶν, τό δέ ὕψος ἑκατόν.</w:t>
      </w:r>
    </w:p>
    <w:p w14:paraId="4EF42468" w14:textId="7C37AE2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Συνήθεις αιτιατικές είναι αυτές που δείχνουν το εύρος, το ύψος, το πλήθος, το όνομα, το μήκος, το βάθος, το μέγεθος.</w:t>
      </w:r>
    </w:p>
    <w:p w14:paraId="7F211A81" w14:textId="3402CF4F" w:rsidR="00800B3B" w:rsidRDefault="00800B3B" w:rsidP="00800B3B">
      <w:pPr>
        <w:spacing w:after="0" w:line="240" w:lineRule="auto"/>
        <w:rPr>
          <w:rFonts w:ascii="Arial" w:hAnsi="Arial" w:cs="Arial"/>
        </w:rPr>
      </w:pPr>
    </w:p>
    <w:p w14:paraId="6796E449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813EC79" wp14:editId="3F63A66A">
            <wp:extent cx="450376" cy="450376"/>
            <wp:effectExtent l="0" t="0" r="6985" b="6985"/>
            <wp:docPr id="6" name="Graphic 6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Bank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1" cy="4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58">
        <w:rPr>
          <w:rFonts w:ascii="Arial" w:hAnsi="Arial" w:cs="Arial"/>
          <w:b/>
          <w:bCs/>
        </w:rPr>
        <w:t xml:space="preserve">                               </w:t>
      </w:r>
      <w:r w:rsidRPr="001A0203">
        <w:rPr>
          <w:rFonts w:ascii="Arial" w:hAnsi="Arial" w:cs="Arial"/>
          <w:b/>
          <w:bCs/>
        </w:rPr>
        <w:t>Επιρρηματικοί προσδιορισμοί</w:t>
      </w:r>
    </w:p>
    <w:p w14:paraId="22C0A0A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  <w:b/>
          <w:bCs/>
        </w:rPr>
        <w:t>Επιρρηματικοί προσδιορισμοί</w:t>
      </w:r>
      <w:r w:rsidRPr="001A0203">
        <w:rPr>
          <w:rFonts w:ascii="Arial" w:hAnsi="Arial" w:cs="Arial"/>
        </w:rPr>
        <w:t xml:space="preserve"> : προσδιορίζουν ρήματα, απαρέμφατα ή μετοχές</w:t>
      </w:r>
    </w:p>
    <w:p w14:paraId="52E11D15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F3FCC8" wp14:editId="67358169">
            <wp:extent cx="232012" cy="232012"/>
            <wp:effectExtent l="0" t="0" r="0" b="0"/>
            <wp:docPr id="1" name="Graphic 1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FD01B9">
        <w:rPr>
          <w:rFonts w:ascii="Arial" w:hAnsi="Arial" w:cs="Arial"/>
          <w:b/>
          <w:bCs/>
        </w:rPr>
        <w:t>Επιρρήματα</w:t>
      </w:r>
      <w:r w:rsidRPr="001A0203">
        <w:rPr>
          <w:rFonts w:ascii="Arial" w:hAnsi="Arial" w:cs="Arial"/>
        </w:rPr>
        <w:t xml:space="preserve"> που δηλώνουν:</w:t>
      </w:r>
    </w:p>
    <w:p w14:paraId="2125A1B9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τόπο (στάση, κίνηση σε τόπο, κίνηση από τόπο, κίνηση διαμέσου τόπου):  ὅπου, πανταχοῦ, θύρασι, αὐτοῦ κ.ἄ.</w:t>
      </w:r>
    </w:p>
    <w:p w14:paraId="3BB9E9AF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χρόνο:  ὕστερον, παραχρῆμα, οὐκέτι κ.ἄ.</w:t>
      </w:r>
    </w:p>
    <w:p w14:paraId="6646B03E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ποσό: σφόδρα, μάλα, παντελῶς κ.ἄ. </w:t>
      </w:r>
    </w:p>
    <w:p w14:paraId="40E43A47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τρόπο:  εὐγενῶς, σαφῶς, καλῶς κ.ἄ. </w:t>
      </w:r>
    </w:p>
    <w:p w14:paraId="0E9C8405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Κατέβην χθές εἰς Πειραιᾶ.</w:t>
      </w:r>
    </w:p>
    <w:p w14:paraId="25817F92" w14:textId="77777777" w:rsidR="00800B3B" w:rsidRPr="00FD01B9" w:rsidRDefault="00800B3B" w:rsidP="00800B3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AB2839F" wp14:editId="7D702281">
            <wp:extent cx="232012" cy="232012"/>
            <wp:effectExtent l="0" t="0" r="0" b="0"/>
            <wp:docPr id="2" name="Graphic 2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FD01B9">
        <w:rPr>
          <w:rFonts w:ascii="Arial" w:hAnsi="Arial" w:cs="Arial"/>
          <w:b/>
          <w:bCs/>
        </w:rPr>
        <w:t>εμπρόθετοι προσδιορισμοί</w:t>
      </w:r>
    </w:p>
    <w:p w14:paraId="7407D003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    Η</w:t>
      </w:r>
      <w:r>
        <w:rPr>
          <w:rFonts w:ascii="Arial" w:hAnsi="Arial" w:cs="Arial"/>
        </w:rPr>
        <w:t xml:space="preserve"> </w:t>
      </w:r>
      <w:r w:rsidRPr="001A0203">
        <w:rPr>
          <w:rFonts w:ascii="Arial" w:hAnsi="Arial" w:cs="Arial"/>
        </w:rPr>
        <w:t>πρόθεση είναι άκλιτη λέξη που συνήθως μπαίνει μπροστά από κλιτές λέξεις για να δηλώσ</w:t>
      </w:r>
      <w:r>
        <w:rPr>
          <w:rFonts w:ascii="Arial" w:hAnsi="Arial" w:cs="Arial"/>
        </w:rPr>
        <w:t>ει</w:t>
      </w:r>
      <w:r w:rsidRPr="001A0203">
        <w:rPr>
          <w:rFonts w:ascii="Arial" w:hAnsi="Arial" w:cs="Arial"/>
        </w:rPr>
        <w:t xml:space="preserve"> μαζί με αυτές επιρρηματικές σχέσεις.</w:t>
      </w:r>
    </w:p>
    <w:p w14:paraId="6AC40A55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lastRenderedPageBreak/>
        <w:t>Απὸ τὶς προθέσεις:</w:t>
      </w:r>
    </w:p>
    <w:p w14:paraId="7DCD59D5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1.</w:t>
      </w:r>
      <w:r w:rsidRPr="001A0203">
        <w:rPr>
          <w:rFonts w:ascii="Arial" w:hAnsi="Arial" w:cs="Arial"/>
        </w:rPr>
        <w:tab/>
        <w:t xml:space="preserve">λέγονται </w:t>
      </w:r>
      <w:r w:rsidRPr="00FD01B9">
        <w:rPr>
          <w:rFonts w:ascii="Arial" w:hAnsi="Arial" w:cs="Arial"/>
          <w:b/>
          <w:bCs/>
        </w:rPr>
        <w:t>κύριες προθέσεις</w:t>
      </w:r>
      <w:r w:rsidRPr="001A0203">
        <w:rPr>
          <w:rFonts w:ascii="Arial" w:hAnsi="Arial" w:cs="Arial"/>
        </w:rPr>
        <w:t xml:space="preserve"> ὅσες χρησιμοποιοῦνται καὶ στὴ σύνταξη ἐμπρὸς ἀπὸ τὶς πλάγιες πτώσεις τῶν πτωτικῶν (π.χ. ἐν τῇ πόλει, σὺν αὐτῷ) καὶ σὲ σύνθεση μὲ ἄλλες λέξεις (π.χ. ἔντιμος, συντυγχάνω)΄ αὐτὲς εἶναι 18, οἱ 6 μονοσύλλαβες καὶ οἱ 12 δισύλλαβες: εἰς, ἐν, ἐκ ἤ ἐξ, πρό, πρός, σύν΄ ἀνά, διά, κατά, μετά, παρά - ἀμφί, ἀντί, ἐπί, περί - ἀπό, ὑπό - ὑπέρ</w:t>
      </w:r>
    </w:p>
    <w:p w14:paraId="49FC435A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2.</w:t>
      </w:r>
      <w:r w:rsidRPr="001A0203">
        <w:rPr>
          <w:rFonts w:ascii="Arial" w:hAnsi="Arial" w:cs="Arial"/>
        </w:rPr>
        <w:tab/>
        <w:t xml:space="preserve">λέγονται </w:t>
      </w:r>
      <w:r w:rsidRPr="00FD01B9">
        <w:rPr>
          <w:rFonts w:ascii="Arial" w:hAnsi="Arial" w:cs="Arial"/>
          <w:b/>
          <w:bCs/>
        </w:rPr>
        <w:t>καταχρηστικὲς προθέσεις</w:t>
      </w:r>
      <w:r w:rsidRPr="001A0203">
        <w:rPr>
          <w:rFonts w:ascii="Arial" w:hAnsi="Arial" w:cs="Arial"/>
        </w:rPr>
        <w:t xml:space="preserve"> ὅσες χρησιμοποιοῦνται μόνο στὴ σύνταξη ἐμπρὸς ἀπὸ τὶς πλάγιες πτώσεις τῶν πτωτικῶν.  Αὐτὲς εἶναι οἱ ἀκόλουθες ἐννιά: </w:t>
      </w:r>
    </w:p>
    <w:p w14:paraId="6DB0C103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α) μὲ γενική: ἄχρι, μέχρι, ἄνευ, χωρίς, πλήν, ἕνεκα ἤ ἕνεκεν   β) μὲ αἰτιατική: ὡς, νή, μά.</w:t>
      </w:r>
    </w:p>
    <w:p w14:paraId="30E990D1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Η</w:t>
      </w:r>
      <w:r w:rsidRPr="001A0203">
        <w:rPr>
          <w:rFonts w:ascii="Arial" w:hAnsi="Arial" w:cs="Arial"/>
        </w:rPr>
        <w:t xml:space="preserve"> πρόθεση μαζί με ουσιαστικό (ή άλλη ουσιαστικοποιημένη λέξη, σπάνια επίρρημα) αποτελούν έναν προσδιορισμό που ονομάζεται </w:t>
      </w:r>
      <w:r w:rsidRPr="00AC4E6A">
        <w:rPr>
          <w:rFonts w:ascii="Arial" w:hAnsi="Arial" w:cs="Arial"/>
          <w:b/>
          <w:bCs/>
        </w:rPr>
        <w:t>εμπρόθετος προσδιορισμός και ισοδυναμεί με επίρρημα</w:t>
      </w:r>
      <w:r w:rsidRPr="001A0203">
        <w:rPr>
          <w:rFonts w:ascii="Arial" w:hAnsi="Arial" w:cs="Arial"/>
        </w:rPr>
        <w:t>.</w:t>
      </w:r>
    </w:p>
    <w:p w14:paraId="0B657E2B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ἐπί γῆς, σύν θεοῖς, πρός τόν λόφον κ.ἄ.</w:t>
      </w:r>
    </w:p>
    <w:p w14:paraId="4FA5DBBC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Δ</w:t>
      </w:r>
      <w:r w:rsidRPr="001A0203">
        <w:rPr>
          <w:rFonts w:ascii="Arial" w:hAnsi="Arial" w:cs="Arial"/>
        </w:rPr>
        <w:t xml:space="preserve">ηλώνουν κυρίως: </w:t>
      </w:r>
    </w:p>
    <w:p w14:paraId="28EBAA44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Τόπο</w:t>
      </w:r>
      <w:r>
        <w:rPr>
          <w:rFonts w:ascii="Arial" w:hAnsi="Arial" w:cs="Arial"/>
        </w:rPr>
        <w:t xml:space="preserve">, </w:t>
      </w:r>
      <w:r w:rsidRPr="001A0203">
        <w:rPr>
          <w:rFonts w:ascii="Arial" w:hAnsi="Arial" w:cs="Arial"/>
        </w:rPr>
        <w:t>στάση σε τόπο</w:t>
      </w:r>
      <w:r>
        <w:rPr>
          <w:rFonts w:ascii="Arial" w:hAnsi="Arial" w:cs="Arial"/>
        </w:rPr>
        <w:t>:</w:t>
      </w:r>
      <w:r w:rsidRPr="001A0203">
        <w:rPr>
          <w:rFonts w:ascii="Arial" w:hAnsi="Arial" w:cs="Arial"/>
        </w:rPr>
        <w:t xml:space="preserve"> </w:t>
      </w:r>
      <w:r w:rsidRPr="00BC5F6C">
        <w:rPr>
          <w:rFonts w:ascii="Arial" w:hAnsi="Arial" w:cs="Arial"/>
          <w:u w:val="single"/>
        </w:rPr>
        <w:t>Πρό τῆς στοᾶς</w:t>
      </w:r>
      <w:r>
        <w:rPr>
          <w:rFonts w:ascii="Arial" w:hAnsi="Arial" w:cs="Arial"/>
        </w:rPr>
        <w:t xml:space="preserve"> ἀνδριάς ἐστίν.</w:t>
      </w:r>
    </w:p>
    <w:p w14:paraId="73EFCCEA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1A0203">
        <w:rPr>
          <w:rFonts w:ascii="Arial" w:hAnsi="Arial" w:cs="Arial"/>
        </w:rPr>
        <w:t>κίνηση από τόπο</w:t>
      </w:r>
      <w:r>
        <w:rPr>
          <w:rFonts w:ascii="Arial" w:hAnsi="Arial" w:cs="Arial"/>
        </w:rPr>
        <w:t>, απομάκρυνση:</w:t>
      </w:r>
      <w:r w:rsidRPr="00BC5F6C">
        <w:t xml:space="preserve"> </w:t>
      </w:r>
      <w:r w:rsidRPr="00BC5F6C">
        <w:rPr>
          <w:rFonts w:ascii="Arial" w:hAnsi="Arial" w:cs="Arial"/>
        </w:rPr>
        <w:t xml:space="preserve">Κῦρος ὡρμᾶτο </w:t>
      </w:r>
      <w:r w:rsidRPr="00BC5F6C">
        <w:rPr>
          <w:rFonts w:ascii="Arial" w:hAnsi="Arial" w:cs="Arial"/>
          <w:u w:val="single"/>
        </w:rPr>
        <w:t>ἀπὸ Σάρδεων</w:t>
      </w:r>
      <w:r>
        <w:rPr>
          <w:rFonts w:ascii="Arial" w:hAnsi="Arial" w:cs="Arial"/>
        </w:rPr>
        <w:t>.</w:t>
      </w:r>
    </w:p>
    <w:p w14:paraId="51952185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1A0203">
        <w:rPr>
          <w:rFonts w:ascii="Arial" w:hAnsi="Arial" w:cs="Arial"/>
        </w:rPr>
        <w:t>κίνηση προς τόπο,</w:t>
      </w:r>
      <w:r>
        <w:rPr>
          <w:rFonts w:ascii="Arial" w:hAnsi="Arial" w:cs="Arial"/>
        </w:rPr>
        <w:t xml:space="preserve"> κατεύθυνση:</w:t>
      </w:r>
      <w:r w:rsidRPr="001A02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Νεανίας τίς </w:t>
      </w:r>
      <w:r w:rsidRPr="00BC5F6C">
        <w:rPr>
          <w:rFonts w:ascii="Arial" w:hAnsi="Arial" w:cs="Arial"/>
          <w:u w:val="single"/>
        </w:rPr>
        <w:t>πρός το</w:t>
      </w:r>
      <w:r>
        <w:rPr>
          <w:rFonts w:ascii="Arial" w:hAnsi="Arial" w:cs="Arial"/>
          <w:u w:val="single"/>
        </w:rPr>
        <w:t>ύ</w:t>
      </w:r>
      <w:r w:rsidRPr="00BC5F6C">
        <w:rPr>
          <w:rFonts w:ascii="Arial" w:hAnsi="Arial" w:cs="Arial"/>
          <w:u w:val="single"/>
        </w:rPr>
        <w:t>ς διαλεγομένους</w:t>
      </w:r>
      <w:r>
        <w:rPr>
          <w:rFonts w:ascii="Arial" w:hAnsi="Arial" w:cs="Arial"/>
        </w:rPr>
        <w:t xml:space="preserve"> ἔρχεται.</w:t>
      </w:r>
      <w:r w:rsidRPr="00A075B2">
        <w:t xml:space="preserve"> </w:t>
      </w:r>
      <w:r w:rsidRPr="00A075B2">
        <w:rPr>
          <w:rFonts w:ascii="Arial" w:hAnsi="Arial" w:cs="Arial"/>
        </w:rPr>
        <w:t xml:space="preserve">Ἔφευγον </w:t>
      </w:r>
      <w:r w:rsidRPr="00A075B2">
        <w:rPr>
          <w:rFonts w:ascii="Arial" w:hAnsi="Arial" w:cs="Arial"/>
          <w:u w:val="single"/>
        </w:rPr>
        <w:t>ἐπὶ τὸ ὄρος.</w:t>
      </w:r>
    </w:p>
    <w:p w14:paraId="6133D689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προέλευση, καταγωγή</w:t>
      </w:r>
      <w:r>
        <w:rPr>
          <w:rFonts w:ascii="Arial" w:hAnsi="Arial" w:cs="Arial"/>
        </w:rPr>
        <w:t xml:space="preserve">: </w:t>
      </w:r>
      <w:r w:rsidRPr="00A075B2">
        <w:rPr>
          <w:rFonts w:ascii="Arial" w:hAnsi="Arial" w:cs="Arial"/>
          <w:u w:val="single"/>
        </w:rPr>
        <w:t>Ἀφ’ Ἡρακλέους</w:t>
      </w:r>
      <w:r w:rsidRPr="00A075B2">
        <w:rPr>
          <w:rFonts w:ascii="Arial" w:hAnsi="Arial" w:cs="Arial"/>
        </w:rPr>
        <w:t xml:space="preserve"> ἐγένετο.</w:t>
      </w:r>
      <w:r>
        <w:rPr>
          <w:rFonts w:ascii="Arial" w:hAnsi="Arial" w:cs="Arial"/>
        </w:rPr>
        <w:t xml:space="preserve"> Εἰμί </w:t>
      </w:r>
      <w:r w:rsidRPr="00A075B2">
        <w:rPr>
          <w:rFonts w:ascii="Arial" w:hAnsi="Arial" w:cs="Arial"/>
          <w:u w:val="single"/>
        </w:rPr>
        <w:t>ἐξ Ἀθηνῶν</w:t>
      </w:r>
      <w:r>
        <w:rPr>
          <w:rFonts w:ascii="Arial" w:hAnsi="Arial" w:cs="Arial"/>
        </w:rPr>
        <w:t>.</w:t>
      </w:r>
    </w:p>
    <w:p w14:paraId="1CBA4334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χρόνο</w:t>
      </w:r>
      <w:r>
        <w:rPr>
          <w:rFonts w:ascii="Arial" w:hAnsi="Arial" w:cs="Arial"/>
        </w:rPr>
        <w:t>:</w:t>
      </w:r>
      <w:r w:rsidRPr="00BC5F6C">
        <w:t xml:space="preserve"> </w:t>
      </w:r>
      <w:r w:rsidRPr="00BC5F6C">
        <w:rPr>
          <w:rFonts w:ascii="Arial" w:hAnsi="Arial" w:cs="Arial"/>
          <w:u w:val="single"/>
        </w:rPr>
        <w:t>Μετὰ δὲ ταῦτα</w:t>
      </w:r>
      <w:r w:rsidRPr="00BC5F6C">
        <w:rPr>
          <w:rFonts w:ascii="Arial" w:hAnsi="Arial" w:cs="Arial"/>
        </w:rPr>
        <w:t xml:space="preserve"> Εὔβοια ἀπέστη (= αποστάτησε) ἀπὸ Ἀθηναίων.</w:t>
      </w:r>
    </w:p>
    <w:p w14:paraId="30B0D7EA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τρόπο, όργανο ή μέσο</w:t>
      </w:r>
      <w:r>
        <w:rPr>
          <w:rFonts w:ascii="Arial" w:hAnsi="Arial" w:cs="Arial"/>
        </w:rPr>
        <w:t>:</w:t>
      </w:r>
      <w:r w:rsidRPr="001A0203">
        <w:rPr>
          <w:rFonts w:ascii="Arial" w:hAnsi="Arial" w:cs="Arial"/>
        </w:rPr>
        <w:t xml:space="preserve"> </w:t>
      </w:r>
      <w:r w:rsidRPr="00BC5F6C">
        <w:rPr>
          <w:rFonts w:ascii="Arial" w:hAnsi="Arial" w:cs="Arial"/>
          <w:u w:val="single"/>
        </w:rPr>
        <w:t>Διὰ λόγου</w:t>
      </w:r>
      <w:r w:rsidRPr="00BC5F6C">
        <w:rPr>
          <w:rFonts w:ascii="Arial" w:hAnsi="Arial" w:cs="Arial"/>
        </w:rPr>
        <w:t xml:space="preserve"> (= με τα λόγια) μανθάνει.</w:t>
      </w:r>
      <w:r w:rsidRPr="00BC5F6C">
        <w:t xml:space="preserve"> </w:t>
      </w:r>
      <w:r w:rsidRPr="00BC5F6C">
        <w:rPr>
          <w:rFonts w:ascii="Arial" w:hAnsi="Arial" w:cs="Arial"/>
        </w:rPr>
        <w:t xml:space="preserve">Ὁρῶμεν </w:t>
      </w:r>
      <w:r w:rsidRPr="00BC5F6C">
        <w:rPr>
          <w:rFonts w:ascii="Arial" w:hAnsi="Arial" w:cs="Arial"/>
          <w:u w:val="single"/>
        </w:rPr>
        <w:t>διὰ τῶν ὀφθαλμῶν</w:t>
      </w:r>
      <w:r w:rsidRPr="00BC5F6C">
        <w:rPr>
          <w:rFonts w:ascii="Arial" w:hAnsi="Arial" w:cs="Arial"/>
        </w:rPr>
        <w:t>.</w:t>
      </w:r>
    </w:p>
    <w:p w14:paraId="0B58046D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αιτία</w:t>
      </w:r>
      <w:r>
        <w:rPr>
          <w:rFonts w:ascii="Arial" w:hAnsi="Arial" w:cs="Arial"/>
        </w:rPr>
        <w:t>:</w:t>
      </w:r>
      <w:r w:rsidRPr="001A0203">
        <w:rPr>
          <w:rFonts w:ascii="Arial" w:hAnsi="Arial" w:cs="Arial"/>
        </w:rPr>
        <w:t xml:space="preserve"> </w:t>
      </w:r>
      <w:r w:rsidRPr="00A075B2">
        <w:rPr>
          <w:rFonts w:ascii="Arial" w:hAnsi="Arial" w:cs="Arial"/>
          <w:u w:val="single"/>
        </w:rPr>
        <w:t>Διά τοῦτο</w:t>
      </w:r>
      <w:r w:rsidRPr="00BC5F6C">
        <w:rPr>
          <w:rFonts w:ascii="Arial" w:hAnsi="Arial" w:cs="Arial"/>
        </w:rPr>
        <w:t xml:space="preserve"> οὐκ ἤθελον.</w:t>
      </w:r>
    </w:p>
    <w:p w14:paraId="4AAE89F6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σκοπό</w:t>
      </w:r>
      <w:r>
        <w:rPr>
          <w:rFonts w:ascii="Arial" w:hAnsi="Arial" w:cs="Arial"/>
        </w:rPr>
        <w:t>:</w:t>
      </w:r>
      <w:r w:rsidRPr="00A075B2">
        <w:t xml:space="preserve"> </w:t>
      </w:r>
      <w:r w:rsidRPr="00A075B2">
        <w:rPr>
          <w:rFonts w:ascii="Arial" w:hAnsi="Arial" w:cs="Arial"/>
        </w:rPr>
        <w:t xml:space="preserve">Τὴν ναῦν ἀπέστειλαν οἱ στρατηγοὶ </w:t>
      </w:r>
      <w:r w:rsidRPr="00A075B2">
        <w:rPr>
          <w:rFonts w:ascii="Arial" w:hAnsi="Arial" w:cs="Arial"/>
          <w:u w:val="single"/>
        </w:rPr>
        <w:t>ἐπὶ χρήματα καὶ ἱππέας</w:t>
      </w:r>
      <w:r w:rsidRPr="00A075B2">
        <w:rPr>
          <w:rFonts w:ascii="Arial" w:hAnsi="Arial" w:cs="Arial"/>
        </w:rPr>
        <w:t>.</w:t>
      </w:r>
    </w:p>
    <w:p w14:paraId="24EF7D55" w14:textId="77777777" w:rsidR="00800B3B" w:rsidRPr="00A075B2" w:rsidRDefault="00800B3B" w:rsidP="00800B3B">
      <w:pPr>
        <w:spacing w:after="0" w:line="240" w:lineRule="auto"/>
        <w:rPr>
          <w:rFonts w:ascii="Arial" w:hAnsi="Arial" w:cs="Arial"/>
          <w:u w:val="single"/>
        </w:rPr>
      </w:pPr>
      <w:r w:rsidRPr="00791900">
        <w:rPr>
          <w:rFonts w:ascii="Arial" w:hAnsi="Arial" w:cs="Arial"/>
          <w:b/>
          <w:bCs/>
        </w:rPr>
        <w:t>αναφορά</w:t>
      </w:r>
      <w:r>
        <w:rPr>
          <w:rFonts w:ascii="Arial" w:hAnsi="Arial" w:cs="Arial"/>
        </w:rPr>
        <w:t>:</w:t>
      </w:r>
      <w:r w:rsidRPr="00BC5F6C">
        <w:t xml:space="preserve"> </w:t>
      </w:r>
      <w:r w:rsidRPr="00BC5F6C">
        <w:rPr>
          <w:rFonts w:ascii="Arial" w:hAnsi="Arial" w:cs="Arial"/>
        </w:rPr>
        <w:t xml:space="preserve">Εἴπωμεν </w:t>
      </w:r>
      <w:r w:rsidRPr="00BC5F6C">
        <w:rPr>
          <w:rFonts w:ascii="Arial" w:hAnsi="Arial" w:cs="Arial"/>
          <w:u w:val="single"/>
        </w:rPr>
        <w:t>περὶ εἰρήνης</w:t>
      </w:r>
      <w:r w:rsidRPr="00BC5F6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075B2">
        <w:rPr>
          <w:rFonts w:ascii="Arial" w:hAnsi="Arial" w:cs="Arial"/>
        </w:rPr>
        <w:t>Γυναῖκες πολλαὶ πολλῶν ἀνδρῶν βελτίο</w:t>
      </w:r>
      <w:r>
        <w:rPr>
          <w:rFonts w:ascii="Arial" w:hAnsi="Arial" w:cs="Arial"/>
        </w:rPr>
        <w:t>νε</w:t>
      </w:r>
      <w:r w:rsidRPr="00A075B2">
        <w:rPr>
          <w:rFonts w:ascii="Arial" w:hAnsi="Arial" w:cs="Arial"/>
        </w:rPr>
        <w:t xml:space="preserve">ς (= καλύτερες) </w:t>
      </w:r>
      <w:r w:rsidRPr="00A075B2">
        <w:rPr>
          <w:rFonts w:ascii="Arial" w:hAnsi="Arial" w:cs="Arial"/>
          <w:u w:val="single"/>
        </w:rPr>
        <w:t>εἰς πολλά.</w:t>
      </w:r>
    </w:p>
    <w:p w14:paraId="12A7ECFD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συνοδεία</w:t>
      </w:r>
      <w:r>
        <w:rPr>
          <w:rFonts w:ascii="Arial" w:hAnsi="Arial" w:cs="Arial"/>
        </w:rPr>
        <w:t>:</w:t>
      </w:r>
      <w:r w:rsidRPr="001A02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Ἤλθομεν </w:t>
      </w:r>
      <w:r w:rsidRPr="00A075B2">
        <w:rPr>
          <w:rFonts w:ascii="Arial" w:hAnsi="Arial" w:cs="Arial"/>
          <w:u w:val="single"/>
        </w:rPr>
        <w:t>σύν γυναιξί καί τέκνοις</w:t>
      </w:r>
      <w:r>
        <w:rPr>
          <w:rFonts w:ascii="Arial" w:hAnsi="Arial" w:cs="Arial"/>
        </w:rPr>
        <w:t>.</w:t>
      </w:r>
    </w:p>
    <w:p w14:paraId="4F3B67D9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εναντίωση</w:t>
      </w:r>
      <w:r>
        <w:rPr>
          <w:rFonts w:ascii="Arial" w:hAnsi="Arial" w:cs="Arial"/>
        </w:rPr>
        <w:t>:</w:t>
      </w:r>
      <w:r w:rsidRPr="001A0203">
        <w:rPr>
          <w:rFonts w:ascii="Arial" w:hAnsi="Arial" w:cs="Arial"/>
        </w:rPr>
        <w:t xml:space="preserve"> </w:t>
      </w:r>
      <w:r w:rsidRPr="00A075B2">
        <w:rPr>
          <w:rFonts w:ascii="Arial" w:hAnsi="Arial" w:cs="Arial"/>
        </w:rPr>
        <w:t xml:space="preserve">Οἱ </w:t>
      </w:r>
      <w:r>
        <w:rPr>
          <w:rFonts w:ascii="Arial" w:hAnsi="Arial" w:cs="Arial"/>
        </w:rPr>
        <w:t>ἐχθροί</w:t>
      </w:r>
      <w:r w:rsidRPr="00A075B2">
        <w:rPr>
          <w:rFonts w:ascii="Arial" w:hAnsi="Arial" w:cs="Arial"/>
        </w:rPr>
        <w:t xml:space="preserve"> τὰς σπονδὰς</w:t>
      </w:r>
      <w:r>
        <w:rPr>
          <w:rFonts w:ascii="Arial" w:hAnsi="Arial" w:cs="Arial"/>
        </w:rPr>
        <w:t xml:space="preserve"> (τις συνθήκες)</w:t>
      </w:r>
      <w:r w:rsidRPr="00A075B2">
        <w:rPr>
          <w:rFonts w:ascii="Arial" w:hAnsi="Arial" w:cs="Arial"/>
        </w:rPr>
        <w:t xml:space="preserve"> </w:t>
      </w:r>
      <w:r w:rsidRPr="00A075B2">
        <w:rPr>
          <w:rFonts w:ascii="Arial" w:hAnsi="Arial" w:cs="Arial"/>
          <w:u w:val="single"/>
        </w:rPr>
        <w:t>παρὰ τοὺς ὅρκους</w:t>
      </w:r>
      <w:r w:rsidRPr="00A075B2">
        <w:rPr>
          <w:rFonts w:ascii="Arial" w:hAnsi="Arial" w:cs="Arial"/>
        </w:rPr>
        <w:t xml:space="preserve"> λύουσι.</w:t>
      </w:r>
    </w:p>
    <w:p w14:paraId="350BC3AE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791900">
        <w:rPr>
          <w:rFonts w:ascii="Arial" w:hAnsi="Arial" w:cs="Arial"/>
          <w:b/>
          <w:bCs/>
        </w:rPr>
        <w:t>υπεράσπιση</w:t>
      </w:r>
      <w:r>
        <w:rPr>
          <w:rFonts w:ascii="Arial" w:hAnsi="Arial" w:cs="Arial"/>
        </w:rPr>
        <w:t xml:space="preserve">: </w:t>
      </w:r>
      <w:r w:rsidRPr="00A075B2">
        <w:rPr>
          <w:rFonts w:ascii="Arial" w:hAnsi="Arial" w:cs="Arial"/>
          <w:u w:val="single"/>
        </w:rPr>
        <w:t>Ὑπέρ πίστεως καί πατρίδος</w:t>
      </w:r>
      <w:r>
        <w:rPr>
          <w:rFonts w:ascii="Arial" w:hAnsi="Arial" w:cs="Arial"/>
        </w:rPr>
        <w:t xml:space="preserve"> ἐμάχοντο.</w:t>
      </w:r>
    </w:p>
    <w:p w14:paraId="1F5EA781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E8B476" wp14:editId="675FE79C">
            <wp:extent cx="232012" cy="232012"/>
            <wp:effectExtent l="0" t="0" r="0" b="0"/>
            <wp:docPr id="3" name="Graphic 3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D01B9">
        <w:rPr>
          <w:rFonts w:ascii="Arial" w:hAnsi="Arial" w:cs="Arial"/>
          <w:b/>
          <w:bCs/>
        </w:rPr>
        <w:t>πλάγιες πτώσεις</w:t>
      </w:r>
    </w:p>
    <w:p w14:paraId="0D4CC9AC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   οι πλάγιες πτώσεις (</w:t>
      </w:r>
      <w:r w:rsidRPr="00260B66">
        <w:rPr>
          <w:rFonts w:ascii="Arial" w:hAnsi="Arial" w:cs="Arial"/>
          <w:b/>
          <w:bCs/>
        </w:rPr>
        <w:t>γενική, δοτική, αιτιατική</w:t>
      </w:r>
      <w:r w:rsidRPr="001A0203">
        <w:rPr>
          <w:rFonts w:ascii="Arial" w:hAnsi="Arial" w:cs="Arial"/>
        </w:rPr>
        <w:t>) χρησιμοποιούνται συχνά με επιρρηματική σημασία και δηλώνουν κυρίως τόπο, χρόνο, αιτία, αναφορά, ποσό, τρόπο.</w:t>
      </w:r>
    </w:p>
    <w:p w14:paraId="55E17BBD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Λιμῷ ἀπέθανον.</w:t>
      </w:r>
    </w:p>
    <w:p w14:paraId="4654DA9A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5453638" wp14:editId="2B3DE76C">
            <wp:extent cx="232012" cy="232012"/>
            <wp:effectExtent l="0" t="0" r="0" b="0"/>
            <wp:docPr id="4" name="Graphic 4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20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Pr="00FD01B9">
        <w:rPr>
          <w:rFonts w:ascii="Arial" w:hAnsi="Arial" w:cs="Arial"/>
          <w:b/>
          <w:bCs/>
        </w:rPr>
        <w:t>επιρρηματικές μετοχές</w:t>
      </w:r>
    </w:p>
    <w:p w14:paraId="405310B9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    μετοχές που δηλώνουν αιτία (αιτιολογική), χρόνο (χρονική), σκοπό (τελική), εναντίωση (εναντιωματική),υπόθεση (υποθετική), τρόπο (τροπική).</w:t>
      </w:r>
    </w:p>
    <w:p w14:paraId="4DB56DAF" w14:textId="349D73C5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Ἐλθών εἶπε</w:t>
      </w:r>
      <w:r>
        <w:rPr>
          <w:rFonts w:ascii="Arial" w:hAnsi="Arial" w:cs="Arial"/>
        </w:rPr>
        <w:t xml:space="preserve"> (</w:t>
      </w:r>
      <w:r w:rsidR="00791900">
        <w:rPr>
          <w:rFonts w:ascii="Arial" w:hAnsi="Arial" w:cs="Arial"/>
        </w:rPr>
        <w:t>Π</w:t>
      </w:r>
      <w:r>
        <w:rPr>
          <w:rFonts w:ascii="Arial" w:hAnsi="Arial" w:cs="Arial"/>
        </w:rPr>
        <w:t>ότε είπε; Αφού ήλθε)</w:t>
      </w:r>
    </w:p>
    <w:p w14:paraId="443DC2AB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00E3F55A" wp14:editId="44482C60">
            <wp:extent cx="232012" cy="232012"/>
            <wp:effectExtent l="0" t="0" r="0" b="0"/>
            <wp:docPr id="5" name="Graphic 5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Puzz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7" cy="2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1A0203">
        <w:rPr>
          <w:rFonts w:ascii="Arial" w:hAnsi="Arial" w:cs="Arial"/>
        </w:rPr>
        <w:t xml:space="preserve"> </w:t>
      </w:r>
      <w:r w:rsidRPr="00FD01B9">
        <w:rPr>
          <w:rFonts w:ascii="Arial" w:hAnsi="Arial" w:cs="Arial"/>
          <w:b/>
          <w:bCs/>
        </w:rPr>
        <w:t>επιρρηματικές δευτερεύουσες προτάσεις</w:t>
      </w:r>
    </w:p>
    <w:p w14:paraId="1061E9C6" w14:textId="77777777" w:rsidR="00800B3B" w:rsidRPr="001A0203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 xml:space="preserve">      αιτιολογικές, χρονικές, τελικές, εναντιωματικές, υποθετικές, αναφορικές επιρρηματικές, συμπερασματικές.</w:t>
      </w:r>
    </w:p>
    <w:p w14:paraId="175207A1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  <w:r w:rsidRPr="001A0203">
        <w:rPr>
          <w:rFonts w:ascii="Arial" w:hAnsi="Arial" w:cs="Arial"/>
        </w:rPr>
        <w:t>π.χ. Ἀθηναῖοι ἐνόμιζον λελύσθαι τάς σπονδάς, διότι εἰς χεῖρας ἦλθον.</w:t>
      </w:r>
    </w:p>
    <w:p w14:paraId="40FB75E4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</w:p>
    <w:p w14:paraId="09E693D5" w14:textId="77777777" w:rsidR="00800B3B" w:rsidRDefault="00800B3B" w:rsidP="00800B3B">
      <w:pPr>
        <w:spacing w:after="0" w:line="240" w:lineRule="auto"/>
        <w:rPr>
          <w:rFonts w:ascii="Arial" w:hAnsi="Arial" w:cs="Arial"/>
        </w:rPr>
      </w:pPr>
    </w:p>
    <w:p w14:paraId="750F9407" w14:textId="7A4B1B2D" w:rsidR="00800B3B" w:rsidRDefault="00800B3B" w:rsidP="00800B3B">
      <w:pPr>
        <w:spacing w:after="0" w:line="240" w:lineRule="auto"/>
        <w:jc w:val="center"/>
      </w:pPr>
      <w:r w:rsidRPr="00C00584">
        <w:rPr>
          <w:noProof/>
        </w:rPr>
        <w:drawing>
          <wp:inline distT="0" distB="0" distL="0" distR="0" wp14:anchorId="1FDB3EF0" wp14:editId="28397285">
            <wp:extent cx="1735793" cy="136986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5" t="49922" r="36826" b="4434"/>
                    <a:stretch/>
                  </pic:blipFill>
                  <pic:spPr bwMode="auto">
                    <a:xfrm>
                      <a:off x="0" y="0"/>
                      <a:ext cx="1761180" cy="138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0B3B" w:rsidSect="00791900">
      <w:pgSz w:w="11906" w:h="16838"/>
      <w:pgMar w:top="1440" w:right="155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B3B"/>
    <w:rsid w:val="000504CA"/>
    <w:rsid w:val="00575F98"/>
    <w:rsid w:val="00791900"/>
    <w:rsid w:val="00800B3B"/>
    <w:rsid w:val="00FA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2E92F"/>
  <w15:chartTrackingRefBased/>
  <w15:docId w15:val="{ED3F027B-BB08-43F9-84FE-1B400E82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0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1142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</dc:creator>
  <cp:keywords/>
  <dc:description/>
  <cp:lastModifiedBy>Anna-Maria</cp:lastModifiedBy>
  <cp:revision>4</cp:revision>
  <dcterms:created xsi:type="dcterms:W3CDTF">2020-11-06T22:35:00Z</dcterms:created>
  <dcterms:modified xsi:type="dcterms:W3CDTF">2020-11-07T09:20:00Z</dcterms:modified>
</cp:coreProperties>
</file>