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62D" w:rsidRPr="00227A45" w:rsidRDefault="00322125" w:rsidP="00227A45">
      <w:pPr>
        <w:jc w:val="center"/>
        <w:rPr>
          <w:b/>
          <w:sz w:val="24"/>
          <w:szCs w:val="24"/>
          <w:u w:val="single"/>
        </w:rPr>
      </w:pPr>
      <w:r w:rsidRPr="00227A45">
        <w:rPr>
          <w:b/>
          <w:sz w:val="24"/>
          <w:szCs w:val="24"/>
          <w:u w:val="single"/>
        </w:rPr>
        <w:t>Επαναληπτικές ασκήσεις</w:t>
      </w:r>
      <w:r w:rsidR="001C17FB" w:rsidRPr="001C17FB">
        <w:rPr>
          <w:b/>
          <w:sz w:val="24"/>
          <w:szCs w:val="24"/>
          <w:u w:val="single"/>
        </w:rPr>
        <w:t>(</w:t>
      </w:r>
      <w:r w:rsidR="001C17FB">
        <w:rPr>
          <w:rFonts w:asciiTheme="majorHAnsi" w:hAnsiTheme="majorHAnsi"/>
          <w:b/>
          <w:sz w:val="24"/>
          <w:szCs w:val="24"/>
          <w:u w:val="single"/>
          <w:lang w:val="en-US"/>
        </w:rPr>
        <w:t>I</w:t>
      </w:r>
      <w:r w:rsidR="001C17FB">
        <w:rPr>
          <w:b/>
          <w:sz w:val="24"/>
          <w:szCs w:val="24"/>
          <w:u w:val="single"/>
          <w:lang w:val="en-US"/>
        </w:rPr>
        <w:t>)</w:t>
      </w:r>
      <w:r w:rsidRPr="00227A45">
        <w:rPr>
          <w:b/>
          <w:sz w:val="24"/>
          <w:szCs w:val="24"/>
          <w:u w:val="single"/>
        </w:rPr>
        <w:t xml:space="preserve"> στο 1</w:t>
      </w:r>
      <w:r w:rsidRPr="00227A45">
        <w:rPr>
          <w:b/>
          <w:sz w:val="24"/>
          <w:szCs w:val="24"/>
          <w:u w:val="single"/>
          <w:vertAlign w:val="superscript"/>
        </w:rPr>
        <w:t>ο</w:t>
      </w:r>
      <w:r w:rsidRPr="00227A45">
        <w:rPr>
          <w:b/>
          <w:sz w:val="24"/>
          <w:szCs w:val="24"/>
          <w:u w:val="single"/>
        </w:rPr>
        <w:t xml:space="preserve"> τεύχος(κεφ. 1,2,3,6) και στο 2</w:t>
      </w:r>
      <w:r w:rsidR="00227A45" w:rsidRPr="00227A45">
        <w:rPr>
          <w:b/>
          <w:sz w:val="24"/>
          <w:szCs w:val="24"/>
          <w:u w:val="single"/>
          <w:vertAlign w:val="superscript"/>
        </w:rPr>
        <w:t xml:space="preserve">ο </w:t>
      </w:r>
      <w:r w:rsidR="00227A45" w:rsidRPr="00227A45">
        <w:rPr>
          <w:b/>
          <w:sz w:val="24"/>
          <w:szCs w:val="24"/>
          <w:u w:val="single"/>
        </w:rPr>
        <w:t>τεύχος(κεφ. 2,3,4)</w:t>
      </w:r>
    </w:p>
    <w:p w:rsidR="00F20DE2" w:rsidRDefault="00F20DE2" w:rsidP="00F20DE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Α1. </w:t>
      </w:r>
      <w:r>
        <w:rPr>
          <w:sz w:val="24"/>
          <w:szCs w:val="24"/>
        </w:rPr>
        <w:t>Χαρακτηρίστε τις παρακάτω προτάσεις ως σωστές(</w:t>
      </w:r>
      <w:r>
        <w:rPr>
          <w:b/>
          <w:sz w:val="24"/>
          <w:szCs w:val="24"/>
        </w:rPr>
        <w:t>Σ</w:t>
      </w:r>
      <w:r>
        <w:rPr>
          <w:sz w:val="24"/>
          <w:szCs w:val="24"/>
        </w:rPr>
        <w:t>) ή λανθασμένες(</w:t>
      </w:r>
      <w:r>
        <w:rPr>
          <w:b/>
          <w:sz w:val="24"/>
          <w:szCs w:val="24"/>
        </w:rPr>
        <w:t>Λ</w:t>
      </w:r>
      <w:r>
        <w:rPr>
          <w:sz w:val="24"/>
          <w:szCs w:val="24"/>
        </w:rPr>
        <w:t>):</w:t>
      </w:r>
    </w:p>
    <w:p w:rsidR="00F20DE2" w:rsidRPr="00F20DE2" w:rsidRDefault="00F20DE2" w:rsidP="00F20DE2">
      <w:pPr>
        <w:spacing w:after="0" w:line="240" w:lineRule="auto"/>
        <w:rPr>
          <w:sz w:val="24"/>
          <w:szCs w:val="24"/>
        </w:rPr>
      </w:pPr>
      <w:r w:rsidRPr="001A36D4">
        <w:rPr>
          <w:b/>
          <w:sz w:val="24"/>
          <w:szCs w:val="24"/>
        </w:rPr>
        <w:t>1.</w:t>
      </w:r>
      <w:r w:rsidRPr="00F20DE2">
        <w:rPr>
          <w:sz w:val="24"/>
          <w:szCs w:val="24"/>
        </w:rPr>
        <w:t xml:space="preserve"> Από τους προσδιορισμούς των ενώσεων μη πρωτεϊνικού αζώτου, πιο αξιόπιστη θεωρείται η εξέταση</w:t>
      </w:r>
    </w:p>
    <w:p w:rsidR="00F20DE2" w:rsidRDefault="00F20DE2" w:rsidP="00F20DE2">
      <w:pPr>
        <w:spacing w:after="0" w:line="240" w:lineRule="auto"/>
        <w:rPr>
          <w:sz w:val="24"/>
          <w:szCs w:val="24"/>
        </w:rPr>
      </w:pPr>
      <w:r w:rsidRPr="00F20DE2">
        <w:rPr>
          <w:sz w:val="24"/>
          <w:szCs w:val="24"/>
        </w:rPr>
        <w:t xml:space="preserve">     της ουρίας</w:t>
      </w:r>
      <w:r w:rsidR="0072168E">
        <w:rPr>
          <w:sz w:val="24"/>
          <w:szCs w:val="24"/>
        </w:rPr>
        <w:t xml:space="preserve"> </w:t>
      </w:r>
    </w:p>
    <w:p w:rsidR="00227A45" w:rsidRDefault="00227A45" w:rsidP="00F20DE2">
      <w:pPr>
        <w:spacing w:after="0" w:line="240" w:lineRule="auto"/>
        <w:rPr>
          <w:sz w:val="24"/>
          <w:szCs w:val="24"/>
        </w:rPr>
      </w:pPr>
    </w:p>
    <w:p w:rsidR="00F20DE2" w:rsidRDefault="00F20DE2" w:rsidP="00F20DE2">
      <w:pPr>
        <w:spacing w:after="0" w:line="240" w:lineRule="auto"/>
        <w:rPr>
          <w:sz w:val="24"/>
          <w:szCs w:val="24"/>
        </w:rPr>
      </w:pPr>
      <w:r w:rsidRPr="00F20DE2"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Η θυροξίνη είναι υπογλυκαιμικός παράγοντας δηλαδή προκαλεί ελάττωση των επιπέδων γλυκόζης στο </w:t>
      </w:r>
    </w:p>
    <w:p w:rsidR="00F20DE2" w:rsidRDefault="00F20DE2" w:rsidP="00F20DE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27A45">
        <w:rPr>
          <w:sz w:val="24"/>
          <w:szCs w:val="24"/>
        </w:rPr>
        <w:t>αίμα</w:t>
      </w:r>
    </w:p>
    <w:p w:rsidR="00227A45" w:rsidRDefault="00227A45" w:rsidP="00F20DE2">
      <w:pPr>
        <w:spacing w:after="0" w:line="240" w:lineRule="auto"/>
        <w:rPr>
          <w:sz w:val="24"/>
          <w:szCs w:val="24"/>
        </w:rPr>
      </w:pPr>
    </w:p>
    <w:p w:rsidR="00F20DE2" w:rsidRDefault="00F20DE2" w:rsidP="00F20DE2">
      <w:pPr>
        <w:spacing w:after="0" w:line="240" w:lineRule="auto"/>
        <w:rPr>
          <w:sz w:val="24"/>
          <w:szCs w:val="24"/>
        </w:rPr>
      </w:pPr>
      <w:r w:rsidRPr="001C17FB">
        <w:rPr>
          <w:b/>
          <w:sz w:val="24"/>
          <w:szCs w:val="24"/>
        </w:rPr>
        <w:t>3</w:t>
      </w:r>
      <w:r w:rsidRPr="00F20DE2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 Η δοκιμασία ανοχής της γλυκόζης βασίζεται στο γεγονός ότι σε διαβητικά άτομα ένα δοκιμαστικό </w:t>
      </w:r>
    </w:p>
    <w:p w:rsidR="00F20DE2" w:rsidRDefault="00F20DE2" w:rsidP="00F20DE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φορτίο γλυκόζης θα αφαιρεθεί από την κυκλοφορία του αίματος γρηγορότερα από ότι σε μη</w:t>
      </w:r>
    </w:p>
    <w:p w:rsidR="00F20DE2" w:rsidRDefault="00F20DE2" w:rsidP="00F20DE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διαβητικούς</w:t>
      </w:r>
    </w:p>
    <w:p w:rsidR="00227A45" w:rsidRDefault="00227A45" w:rsidP="00F20DE2">
      <w:pPr>
        <w:spacing w:after="0" w:line="240" w:lineRule="auto"/>
        <w:rPr>
          <w:sz w:val="24"/>
          <w:szCs w:val="24"/>
        </w:rPr>
      </w:pPr>
    </w:p>
    <w:p w:rsidR="001A36D4" w:rsidRDefault="00F20DE2" w:rsidP="001A36D4">
      <w:pPr>
        <w:spacing w:after="0" w:line="240" w:lineRule="auto"/>
        <w:rPr>
          <w:sz w:val="24"/>
          <w:szCs w:val="24"/>
        </w:rPr>
      </w:pPr>
      <w:r w:rsidRPr="001A36D4">
        <w:rPr>
          <w:b/>
          <w:sz w:val="24"/>
          <w:szCs w:val="24"/>
        </w:rPr>
        <w:t>4.</w:t>
      </w:r>
      <w:r w:rsidR="001A36D4" w:rsidRPr="001A36D4">
        <w:rPr>
          <w:sz w:val="24"/>
          <w:szCs w:val="24"/>
        </w:rPr>
        <w:t xml:space="preserve"> </w:t>
      </w:r>
      <w:r w:rsidR="001A36D4">
        <w:rPr>
          <w:sz w:val="24"/>
          <w:szCs w:val="24"/>
        </w:rPr>
        <w:t>Ασπερμία είναι η κατάσταση κατά την οποία δεν παράγεται καθόλου σπέρμα</w:t>
      </w:r>
    </w:p>
    <w:p w:rsidR="00227A45" w:rsidRPr="001A36D4" w:rsidRDefault="00227A45" w:rsidP="001A36D4">
      <w:pPr>
        <w:spacing w:after="0" w:line="240" w:lineRule="auto"/>
        <w:rPr>
          <w:sz w:val="24"/>
          <w:szCs w:val="24"/>
        </w:rPr>
      </w:pPr>
    </w:p>
    <w:p w:rsidR="00F20DE2" w:rsidRDefault="00F20DE2" w:rsidP="001A36D4">
      <w:pPr>
        <w:spacing w:after="0" w:line="240" w:lineRule="auto"/>
        <w:rPr>
          <w:sz w:val="24"/>
          <w:szCs w:val="24"/>
        </w:rPr>
      </w:pPr>
      <w:r w:rsidRPr="001A36D4">
        <w:rPr>
          <w:b/>
          <w:sz w:val="24"/>
          <w:szCs w:val="24"/>
        </w:rPr>
        <w:t>5.</w:t>
      </w:r>
      <w:r w:rsidR="001A36D4" w:rsidRPr="001A36D4">
        <w:rPr>
          <w:sz w:val="24"/>
          <w:szCs w:val="24"/>
        </w:rPr>
        <w:t xml:space="preserve"> </w:t>
      </w:r>
      <w:r w:rsidR="001A36D4" w:rsidRPr="00155CE0">
        <w:rPr>
          <w:sz w:val="24"/>
          <w:szCs w:val="24"/>
        </w:rPr>
        <w:t xml:space="preserve">Αιμόλυση ερυθρών αιμοσφαιρίων  παρουσιάζεται όταν βρεθούν σε υπέρτονο διάλυμα δηλαδή, </w:t>
      </w:r>
      <w:r w:rsidR="0046662D">
        <w:rPr>
          <w:sz w:val="24"/>
          <w:szCs w:val="24"/>
        </w:rPr>
        <w:t xml:space="preserve">    </w:t>
      </w:r>
      <w:r w:rsidR="001A36D4" w:rsidRPr="00155CE0">
        <w:rPr>
          <w:sz w:val="24"/>
          <w:szCs w:val="24"/>
        </w:rPr>
        <w:t>διάλυμα πυκνότερο του  περιεχομένου τους. Τότε εξαιτίας της ώσμωσης το νερό εισέρχεται σε αυτά με αποτέλεσμα τη διόγκωση και τη διάρρηξη της κυτταρικής τους  μεμβράνης</w:t>
      </w:r>
    </w:p>
    <w:p w:rsidR="00227A45" w:rsidRPr="001A36D4" w:rsidRDefault="00227A45" w:rsidP="001A36D4">
      <w:pPr>
        <w:spacing w:after="0" w:line="240" w:lineRule="auto"/>
        <w:rPr>
          <w:sz w:val="24"/>
          <w:szCs w:val="24"/>
        </w:rPr>
      </w:pPr>
    </w:p>
    <w:p w:rsidR="00F20DE2" w:rsidRPr="00227A45" w:rsidRDefault="00F20DE2" w:rsidP="001A36D4">
      <w:pPr>
        <w:spacing w:after="0" w:line="240" w:lineRule="auto"/>
        <w:rPr>
          <w:sz w:val="24"/>
          <w:szCs w:val="24"/>
        </w:rPr>
      </w:pPr>
      <w:r w:rsidRPr="001A36D4">
        <w:rPr>
          <w:b/>
          <w:sz w:val="24"/>
          <w:szCs w:val="24"/>
        </w:rPr>
        <w:t>6.</w:t>
      </w:r>
      <w:r w:rsidR="001A36D4" w:rsidRPr="001A36D4">
        <w:t xml:space="preserve"> </w:t>
      </w:r>
      <w:r w:rsidR="001A36D4" w:rsidRPr="001A36D4">
        <w:rPr>
          <w:sz w:val="24"/>
          <w:szCs w:val="24"/>
        </w:rPr>
        <w:t xml:space="preserve">Τα επίπεδα της κρεατινίνης στα ούρα αποτελούν ένα μέτρο του ποσού της ενεργού μυϊκής </w:t>
      </w:r>
      <w:r w:rsidR="001A36D4" w:rsidRPr="00227A45">
        <w:rPr>
          <w:sz w:val="24"/>
          <w:szCs w:val="24"/>
        </w:rPr>
        <w:t>μάζας</w:t>
      </w:r>
    </w:p>
    <w:p w:rsidR="00227A45" w:rsidRPr="001A36D4" w:rsidRDefault="00227A45" w:rsidP="001A36D4">
      <w:pPr>
        <w:spacing w:after="0" w:line="240" w:lineRule="auto"/>
        <w:rPr>
          <w:b/>
          <w:sz w:val="24"/>
          <w:szCs w:val="24"/>
        </w:rPr>
      </w:pPr>
    </w:p>
    <w:p w:rsidR="001A36D4" w:rsidRPr="001A36D4" w:rsidRDefault="00F20DE2" w:rsidP="001A36D4">
      <w:pPr>
        <w:spacing w:after="0" w:line="240" w:lineRule="auto"/>
        <w:rPr>
          <w:sz w:val="24"/>
          <w:szCs w:val="24"/>
        </w:rPr>
      </w:pPr>
      <w:r w:rsidRPr="001A36D4">
        <w:rPr>
          <w:b/>
          <w:sz w:val="24"/>
          <w:szCs w:val="24"/>
        </w:rPr>
        <w:t>7.</w:t>
      </w:r>
      <w:r w:rsidR="001A36D4" w:rsidRPr="001A36D4">
        <w:t xml:space="preserve"> </w:t>
      </w:r>
      <w:r w:rsidR="001A36D4" w:rsidRPr="001A36D4">
        <w:rPr>
          <w:sz w:val="24"/>
          <w:szCs w:val="24"/>
        </w:rPr>
        <w:t xml:space="preserve">Η σκλήρυνση του τοιχώματος των αρτηριών προκύπτει από εναπόθεση λιπιδίων και ιδίως εστέρων    </w:t>
      </w:r>
    </w:p>
    <w:p w:rsidR="00F20DE2" w:rsidRDefault="001A36D4" w:rsidP="001A36D4">
      <w:pPr>
        <w:spacing w:after="0" w:line="240" w:lineRule="auto"/>
        <w:rPr>
          <w:sz w:val="24"/>
          <w:szCs w:val="24"/>
        </w:rPr>
      </w:pPr>
      <w:r w:rsidRPr="001A36D4">
        <w:rPr>
          <w:sz w:val="24"/>
          <w:szCs w:val="24"/>
        </w:rPr>
        <w:t xml:space="preserve">    χοληστερόλης στο εξωτερικό τοίχωμα των αγγείων</w:t>
      </w:r>
    </w:p>
    <w:p w:rsidR="00227A45" w:rsidRPr="001A36D4" w:rsidRDefault="00227A45" w:rsidP="001A36D4">
      <w:pPr>
        <w:spacing w:after="0" w:line="240" w:lineRule="auto"/>
        <w:rPr>
          <w:sz w:val="24"/>
          <w:szCs w:val="24"/>
        </w:rPr>
      </w:pPr>
    </w:p>
    <w:p w:rsidR="0072168E" w:rsidRDefault="00F20DE2" w:rsidP="0046662D">
      <w:pPr>
        <w:tabs>
          <w:tab w:val="left" w:pos="3357"/>
        </w:tabs>
        <w:spacing w:after="0" w:line="240" w:lineRule="auto"/>
        <w:rPr>
          <w:sz w:val="24"/>
          <w:szCs w:val="24"/>
        </w:rPr>
      </w:pPr>
      <w:r w:rsidRPr="0072168E">
        <w:rPr>
          <w:b/>
          <w:sz w:val="24"/>
          <w:szCs w:val="24"/>
        </w:rPr>
        <w:t>8.</w:t>
      </w:r>
      <w:r w:rsidR="0072168E" w:rsidRPr="0072168E">
        <w:rPr>
          <w:color w:val="0F243E" w:themeColor="text2" w:themeShade="80"/>
          <w:sz w:val="24"/>
          <w:szCs w:val="24"/>
        </w:rPr>
        <w:t xml:space="preserve"> </w:t>
      </w:r>
      <w:r w:rsidR="0072168E" w:rsidRPr="0072168E">
        <w:rPr>
          <w:sz w:val="24"/>
          <w:szCs w:val="24"/>
        </w:rPr>
        <w:t xml:space="preserve">Το </w:t>
      </w:r>
      <w:r w:rsidR="0072168E" w:rsidRPr="0072168E">
        <w:rPr>
          <w:sz w:val="24"/>
          <w:szCs w:val="24"/>
          <w:lang w:val="en-US"/>
        </w:rPr>
        <w:t>PH</w:t>
      </w:r>
      <w:r w:rsidR="0072168E" w:rsidRPr="0072168E">
        <w:rPr>
          <w:sz w:val="24"/>
          <w:szCs w:val="24"/>
        </w:rPr>
        <w:t xml:space="preserve"> είναι ο αρνητικός λογάριθμος της συγκέντρωσης των ιόντων υδροξυλίου</w:t>
      </w:r>
    </w:p>
    <w:p w:rsidR="00227A45" w:rsidRDefault="00227A45" w:rsidP="0046662D">
      <w:pPr>
        <w:tabs>
          <w:tab w:val="left" w:pos="3357"/>
        </w:tabs>
        <w:spacing w:after="0" w:line="240" w:lineRule="auto"/>
        <w:rPr>
          <w:color w:val="0F243E" w:themeColor="text2" w:themeShade="80"/>
          <w:sz w:val="24"/>
          <w:szCs w:val="24"/>
        </w:rPr>
      </w:pPr>
    </w:p>
    <w:p w:rsidR="00F20DE2" w:rsidRDefault="00F20DE2" w:rsidP="0046662D">
      <w:pPr>
        <w:tabs>
          <w:tab w:val="left" w:pos="3357"/>
        </w:tabs>
        <w:spacing w:after="0" w:line="240" w:lineRule="auto"/>
        <w:rPr>
          <w:sz w:val="24"/>
          <w:szCs w:val="24"/>
        </w:rPr>
      </w:pPr>
      <w:r w:rsidRPr="001A36D4">
        <w:rPr>
          <w:b/>
          <w:sz w:val="24"/>
          <w:szCs w:val="24"/>
        </w:rPr>
        <w:t>9.</w:t>
      </w:r>
      <w:r w:rsidR="0072168E">
        <w:rPr>
          <w:b/>
          <w:sz w:val="24"/>
          <w:szCs w:val="24"/>
        </w:rPr>
        <w:t xml:space="preserve"> </w:t>
      </w:r>
      <w:r w:rsidR="0072168E">
        <w:rPr>
          <w:sz w:val="24"/>
          <w:szCs w:val="24"/>
        </w:rPr>
        <w:t>Στην εξέταση ούρων 24</w:t>
      </w:r>
      <w:r w:rsidR="0072168E" w:rsidRPr="0072168E">
        <w:rPr>
          <w:sz w:val="28"/>
          <w:szCs w:val="28"/>
          <w:vertAlign w:val="superscript"/>
        </w:rPr>
        <w:t>ώρου</w:t>
      </w:r>
      <w:r w:rsidR="0072168E">
        <w:rPr>
          <w:sz w:val="24"/>
          <w:szCs w:val="24"/>
        </w:rPr>
        <w:t xml:space="preserve"> ο εξεταζόμενος ουρεί π.χ στις 8:00π.μ και απορρίπτει τα ούρα.</w:t>
      </w:r>
    </w:p>
    <w:p w:rsidR="0046662D" w:rsidRDefault="0046662D" w:rsidP="0046662D">
      <w:pPr>
        <w:tabs>
          <w:tab w:val="left" w:pos="335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Στη συνέχεια συλλέγει τα ούρα όλων των ουρήσεων σε φιάλη, όπου προσθέτει και τα ούρα της        </w:t>
      </w:r>
    </w:p>
    <w:p w:rsidR="0046662D" w:rsidRDefault="0046662D" w:rsidP="0046662D">
      <w:pPr>
        <w:tabs>
          <w:tab w:val="left" w:pos="335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επόμενης μέρας (επίσης στις 8:00π.μ)</w:t>
      </w:r>
    </w:p>
    <w:p w:rsidR="00227A45" w:rsidRDefault="00227A45" w:rsidP="0046662D">
      <w:pPr>
        <w:tabs>
          <w:tab w:val="left" w:pos="3357"/>
        </w:tabs>
        <w:spacing w:after="0" w:line="240" w:lineRule="auto"/>
        <w:rPr>
          <w:sz w:val="24"/>
          <w:szCs w:val="24"/>
        </w:rPr>
      </w:pPr>
    </w:p>
    <w:p w:rsidR="0046662D" w:rsidRDefault="00F20DE2" w:rsidP="0046662D">
      <w:pPr>
        <w:spacing w:after="0" w:line="240" w:lineRule="auto"/>
        <w:rPr>
          <w:sz w:val="24"/>
          <w:szCs w:val="24"/>
        </w:rPr>
      </w:pPr>
      <w:r w:rsidRPr="001A36D4">
        <w:rPr>
          <w:b/>
          <w:sz w:val="24"/>
          <w:szCs w:val="24"/>
        </w:rPr>
        <w:t>10.</w:t>
      </w:r>
      <w:r w:rsidR="0046662D" w:rsidRPr="0046662D">
        <w:rPr>
          <w:sz w:val="24"/>
          <w:szCs w:val="24"/>
        </w:rPr>
        <w:t xml:space="preserve"> </w:t>
      </w:r>
      <w:r w:rsidR="0046662D">
        <w:rPr>
          <w:sz w:val="24"/>
          <w:szCs w:val="24"/>
        </w:rPr>
        <w:t xml:space="preserve">Το φαινόμενο της μεταφοράς μορίων διαλύτη από ένα πυκνότερο διάλυμα σε ένα αραιότερο, μέσω </w:t>
      </w:r>
    </w:p>
    <w:p w:rsidR="00322125" w:rsidRDefault="0046662D" w:rsidP="003221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ημιπε</w:t>
      </w:r>
      <w:r w:rsidR="00322125">
        <w:rPr>
          <w:sz w:val="24"/>
          <w:szCs w:val="24"/>
        </w:rPr>
        <w:t>ρατής μεμβράνης, λέγεται ώσμωση</w:t>
      </w:r>
    </w:p>
    <w:p w:rsidR="00227A45" w:rsidRDefault="00227A45" w:rsidP="004E6DAA">
      <w:pPr>
        <w:rPr>
          <w:sz w:val="24"/>
          <w:szCs w:val="24"/>
        </w:rPr>
      </w:pPr>
    </w:p>
    <w:p w:rsidR="00227A45" w:rsidRDefault="00227A45" w:rsidP="004E6DAA">
      <w:pPr>
        <w:rPr>
          <w:sz w:val="24"/>
          <w:szCs w:val="24"/>
        </w:rPr>
      </w:pPr>
    </w:p>
    <w:p w:rsidR="00227A45" w:rsidRDefault="00227A45" w:rsidP="004E6DAA">
      <w:pPr>
        <w:rPr>
          <w:sz w:val="24"/>
          <w:szCs w:val="24"/>
        </w:rPr>
      </w:pPr>
    </w:p>
    <w:p w:rsidR="00227A45" w:rsidRDefault="00227A45" w:rsidP="004E6DAA">
      <w:pPr>
        <w:rPr>
          <w:sz w:val="24"/>
          <w:szCs w:val="24"/>
        </w:rPr>
      </w:pPr>
    </w:p>
    <w:p w:rsidR="004E6DAA" w:rsidRPr="004E6DAA" w:rsidRDefault="004E6DAA" w:rsidP="004E6DAA">
      <w:pPr>
        <w:rPr>
          <w:sz w:val="24"/>
          <w:szCs w:val="24"/>
        </w:rPr>
      </w:pPr>
      <w:r w:rsidRPr="004E6DAA">
        <w:rPr>
          <w:b/>
          <w:sz w:val="24"/>
          <w:szCs w:val="24"/>
        </w:rPr>
        <w:t>Α2.</w:t>
      </w:r>
      <w:r w:rsidRPr="004E6DAA">
        <w:rPr>
          <w:sz w:val="24"/>
          <w:szCs w:val="24"/>
        </w:rPr>
        <w:t xml:space="preserve"> Να αντιστοιχίσετε τις ορμόνες της πρώτης στήλης</w:t>
      </w:r>
      <w:r w:rsidRPr="004E6DAA">
        <w:rPr>
          <w:rFonts w:asciiTheme="majorHAnsi" w:hAnsiTheme="majorHAnsi"/>
          <w:b/>
          <w:sz w:val="24"/>
          <w:szCs w:val="24"/>
        </w:rPr>
        <w:t xml:space="preserve">(Ι) </w:t>
      </w:r>
      <w:r w:rsidRPr="004E6DAA">
        <w:rPr>
          <w:sz w:val="24"/>
          <w:szCs w:val="24"/>
        </w:rPr>
        <w:t>με την κατηγορία στην οποία ανήκουν στη στήλη</w:t>
      </w:r>
      <w:r w:rsidRPr="004E6DAA">
        <w:rPr>
          <w:rFonts w:asciiTheme="majorHAnsi" w:hAnsiTheme="majorHAnsi"/>
          <w:b/>
          <w:sz w:val="24"/>
          <w:szCs w:val="24"/>
        </w:rPr>
        <w:t>(ΙΙ</w:t>
      </w:r>
      <w:r w:rsidRPr="004E6DAA">
        <w:rPr>
          <w:b/>
          <w:sz w:val="24"/>
          <w:szCs w:val="24"/>
        </w:rPr>
        <w:t>)</w:t>
      </w:r>
      <w:r w:rsidRPr="004E6DAA">
        <w:rPr>
          <w:sz w:val="24"/>
          <w:szCs w:val="24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4E6DAA" w:rsidRPr="00AA39A5" w:rsidTr="00A90481">
        <w:tc>
          <w:tcPr>
            <w:tcW w:w="5341" w:type="dxa"/>
          </w:tcPr>
          <w:p w:rsidR="004E6DAA" w:rsidRPr="00AA39A5" w:rsidRDefault="004E6DAA" w:rsidP="00A9048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A39A5">
              <w:rPr>
                <w:rFonts w:asciiTheme="majorHAnsi" w:hAnsiTheme="majorHAnsi"/>
                <w:b/>
                <w:sz w:val="24"/>
                <w:szCs w:val="24"/>
              </w:rPr>
              <w:t xml:space="preserve">        Στήλη (Ι)</w:t>
            </w:r>
          </w:p>
        </w:tc>
        <w:tc>
          <w:tcPr>
            <w:tcW w:w="5341" w:type="dxa"/>
          </w:tcPr>
          <w:p w:rsidR="004E6DAA" w:rsidRPr="00AA39A5" w:rsidRDefault="004E6DAA" w:rsidP="00A9048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A39A5">
              <w:rPr>
                <w:rFonts w:asciiTheme="majorHAnsi" w:hAnsiTheme="majorHAnsi"/>
                <w:b/>
                <w:sz w:val="24"/>
                <w:szCs w:val="24"/>
              </w:rPr>
              <w:t xml:space="preserve">            Στήλη (ΙΙ)</w:t>
            </w:r>
          </w:p>
        </w:tc>
      </w:tr>
      <w:tr w:rsidR="004E6DAA" w:rsidTr="00A90481">
        <w:tc>
          <w:tcPr>
            <w:tcW w:w="5341" w:type="dxa"/>
          </w:tcPr>
          <w:p w:rsidR="004E6DAA" w:rsidRPr="00AA39A5" w:rsidRDefault="004E6DAA" w:rsidP="00A90481">
            <w:pPr>
              <w:rPr>
                <w:sz w:val="24"/>
                <w:szCs w:val="24"/>
              </w:rPr>
            </w:pPr>
            <w:r w:rsidRPr="00AA39A5">
              <w:rPr>
                <w:b/>
                <w:sz w:val="24"/>
                <w:szCs w:val="24"/>
              </w:rPr>
              <w:t>1.</w:t>
            </w:r>
            <w:r w:rsidRPr="00AA39A5">
              <w:rPr>
                <w:sz w:val="24"/>
                <w:szCs w:val="24"/>
              </w:rPr>
              <w:t xml:space="preserve"> γλυκοκορτικοειδή</w:t>
            </w:r>
          </w:p>
        </w:tc>
        <w:tc>
          <w:tcPr>
            <w:tcW w:w="5341" w:type="dxa"/>
          </w:tcPr>
          <w:p w:rsidR="004E6DAA" w:rsidRPr="00AA39A5" w:rsidRDefault="004E6DAA" w:rsidP="00A90481">
            <w:pPr>
              <w:rPr>
                <w:sz w:val="24"/>
                <w:szCs w:val="24"/>
              </w:rPr>
            </w:pPr>
          </w:p>
        </w:tc>
      </w:tr>
      <w:tr w:rsidR="004E6DAA" w:rsidTr="00A90481">
        <w:tc>
          <w:tcPr>
            <w:tcW w:w="5341" w:type="dxa"/>
          </w:tcPr>
          <w:p w:rsidR="004E6DAA" w:rsidRPr="00AA39A5" w:rsidRDefault="004E6DAA" w:rsidP="00A90481">
            <w:pPr>
              <w:rPr>
                <w:sz w:val="24"/>
                <w:szCs w:val="24"/>
              </w:rPr>
            </w:pPr>
            <w:r w:rsidRPr="00AA39A5">
              <w:rPr>
                <w:b/>
                <w:sz w:val="24"/>
                <w:szCs w:val="24"/>
              </w:rPr>
              <w:t>2.</w:t>
            </w:r>
            <w:r w:rsidRPr="00AA39A5">
              <w:rPr>
                <w:sz w:val="24"/>
                <w:szCs w:val="24"/>
              </w:rPr>
              <w:t xml:space="preserve"> αδρεναλίνη</w:t>
            </w:r>
          </w:p>
        </w:tc>
        <w:tc>
          <w:tcPr>
            <w:tcW w:w="5341" w:type="dxa"/>
          </w:tcPr>
          <w:p w:rsidR="004E6DAA" w:rsidRPr="00AA39A5" w:rsidRDefault="004E6DAA" w:rsidP="00A90481">
            <w:pPr>
              <w:rPr>
                <w:sz w:val="24"/>
                <w:szCs w:val="24"/>
              </w:rPr>
            </w:pPr>
            <w:r w:rsidRPr="00AA39A5">
              <w:rPr>
                <w:b/>
                <w:sz w:val="24"/>
                <w:szCs w:val="24"/>
              </w:rPr>
              <w:t>Α.</w:t>
            </w:r>
            <w:r w:rsidRPr="00AA39A5">
              <w:rPr>
                <w:sz w:val="24"/>
                <w:szCs w:val="24"/>
              </w:rPr>
              <w:t xml:space="preserve"> υπογλυκαιμικός παράγοντας</w:t>
            </w:r>
          </w:p>
        </w:tc>
      </w:tr>
      <w:tr w:rsidR="004E6DAA" w:rsidTr="00A90481">
        <w:tc>
          <w:tcPr>
            <w:tcW w:w="5341" w:type="dxa"/>
          </w:tcPr>
          <w:p w:rsidR="004E6DAA" w:rsidRPr="00AA39A5" w:rsidRDefault="004E6DAA" w:rsidP="00A90481">
            <w:pPr>
              <w:rPr>
                <w:sz w:val="24"/>
                <w:szCs w:val="24"/>
              </w:rPr>
            </w:pPr>
            <w:r w:rsidRPr="00AA39A5">
              <w:rPr>
                <w:b/>
                <w:sz w:val="24"/>
                <w:szCs w:val="24"/>
              </w:rPr>
              <w:t>3.</w:t>
            </w:r>
            <w:r w:rsidRPr="00AA39A5">
              <w:rPr>
                <w:sz w:val="24"/>
                <w:szCs w:val="24"/>
              </w:rPr>
              <w:t xml:space="preserve"> ινσουλίνη</w:t>
            </w:r>
          </w:p>
        </w:tc>
        <w:tc>
          <w:tcPr>
            <w:tcW w:w="5341" w:type="dxa"/>
          </w:tcPr>
          <w:p w:rsidR="004E6DAA" w:rsidRPr="00AA39A5" w:rsidRDefault="004E6DAA" w:rsidP="00A90481">
            <w:pPr>
              <w:rPr>
                <w:sz w:val="24"/>
                <w:szCs w:val="24"/>
              </w:rPr>
            </w:pPr>
          </w:p>
        </w:tc>
      </w:tr>
      <w:tr w:rsidR="004E6DAA" w:rsidTr="00A90481">
        <w:tc>
          <w:tcPr>
            <w:tcW w:w="5341" w:type="dxa"/>
          </w:tcPr>
          <w:p w:rsidR="004E6DAA" w:rsidRPr="00AA39A5" w:rsidRDefault="004E6DAA" w:rsidP="00A90481">
            <w:pPr>
              <w:rPr>
                <w:sz w:val="24"/>
                <w:szCs w:val="24"/>
              </w:rPr>
            </w:pPr>
            <w:r w:rsidRPr="00AA39A5">
              <w:rPr>
                <w:b/>
                <w:sz w:val="24"/>
                <w:szCs w:val="24"/>
              </w:rPr>
              <w:t>4.</w:t>
            </w:r>
            <w:r w:rsidRPr="00AA39A5">
              <w:rPr>
                <w:sz w:val="24"/>
                <w:szCs w:val="24"/>
              </w:rPr>
              <w:t xml:space="preserve"> αυξητική ορμόνη</w:t>
            </w:r>
          </w:p>
        </w:tc>
        <w:tc>
          <w:tcPr>
            <w:tcW w:w="5341" w:type="dxa"/>
          </w:tcPr>
          <w:p w:rsidR="004E6DAA" w:rsidRPr="00AA39A5" w:rsidRDefault="004E6DAA" w:rsidP="00A90481">
            <w:pPr>
              <w:rPr>
                <w:sz w:val="24"/>
                <w:szCs w:val="24"/>
              </w:rPr>
            </w:pPr>
            <w:r w:rsidRPr="00AA39A5">
              <w:rPr>
                <w:b/>
                <w:sz w:val="24"/>
                <w:szCs w:val="24"/>
              </w:rPr>
              <w:t>Β.</w:t>
            </w:r>
            <w:r w:rsidRPr="00AA39A5">
              <w:rPr>
                <w:sz w:val="24"/>
                <w:szCs w:val="24"/>
              </w:rPr>
              <w:t xml:space="preserve"> υπεργλυκαιμικός παράγοντας</w:t>
            </w:r>
          </w:p>
        </w:tc>
      </w:tr>
      <w:tr w:rsidR="004E6DAA" w:rsidTr="00A90481">
        <w:tc>
          <w:tcPr>
            <w:tcW w:w="5341" w:type="dxa"/>
          </w:tcPr>
          <w:p w:rsidR="004E6DAA" w:rsidRPr="00AA39A5" w:rsidRDefault="004E6DAA" w:rsidP="00A90481">
            <w:pPr>
              <w:rPr>
                <w:sz w:val="24"/>
                <w:szCs w:val="24"/>
              </w:rPr>
            </w:pPr>
            <w:r w:rsidRPr="00AA39A5">
              <w:rPr>
                <w:b/>
                <w:sz w:val="24"/>
                <w:szCs w:val="24"/>
              </w:rPr>
              <w:t>5.</w:t>
            </w:r>
            <w:r w:rsidRPr="00AA39A5">
              <w:rPr>
                <w:sz w:val="24"/>
                <w:szCs w:val="24"/>
              </w:rPr>
              <w:t xml:space="preserve"> θυροξίνη</w:t>
            </w:r>
          </w:p>
        </w:tc>
        <w:tc>
          <w:tcPr>
            <w:tcW w:w="5341" w:type="dxa"/>
          </w:tcPr>
          <w:p w:rsidR="004E6DAA" w:rsidRPr="00AA39A5" w:rsidRDefault="004E6DAA" w:rsidP="00A90481">
            <w:pPr>
              <w:rPr>
                <w:sz w:val="24"/>
                <w:szCs w:val="24"/>
              </w:rPr>
            </w:pPr>
          </w:p>
        </w:tc>
      </w:tr>
    </w:tbl>
    <w:p w:rsidR="00AE35EF" w:rsidRDefault="00AE35EF" w:rsidP="00AE35EF">
      <w:pPr>
        <w:spacing w:after="0" w:line="240" w:lineRule="auto"/>
        <w:rPr>
          <w:b/>
          <w:sz w:val="24"/>
          <w:szCs w:val="24"/>
        </w:rPr>
      </w:pPr>
    </w:p>
    <w:p w:rsidR="00322125" w:rsidRDefault="00322125" w:rsidP="00AE35EF">
      <w:pPr>
        <w:spacing w:after="0" w:line="240" w:lineRule="auto"/>
        <w:rPr>
          <w:b/>
          <w:sz w:val="24"/>
          <w:szCs w:val="24"/>
        </w:rPr>
      </w:pPr>
    </w:p>
    <w:p w:rsidR="00227A45" w:rsidRDefault="00227A45" w:rsidP="00AE35EF">
      <w:pPr>
        <w:spacing w:after="0" w:line="240" w:lineRule="auto"/>
        <w:rPr>
          <w:b/>
          <w:sz w:val="24"/>
          <w:szCs w:val="24"/>
        </w:rPr>
      </w:pPr>
    </w:p>
    <w:p w:rsidR="00AE35EF" w:rsidRDefault="00AE35EF" w:rsidP="00AE35EF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Α3. </w:t>
      </w:r>
      <w:r>
        <w:rPr>
          <w:sz w:val="24"/>
          <w:szCs w:val="24"/>
        </w:rPr>
        <w:t>Αντιστοιχίστε τα στοιχεία της στήλης</w:t>
      </w:r>
      <w:r w:rsidRPr="003D618D">
        <w:rPr>
          <w:b/>
          <w:sz w:val="24"/>
          <w:szCs w:val="24"/>
        </w:rPr>
        <w:t>(</w:t>
      </w:r>
      <w:r w:rsidRPr="003D618D">
        <w:rPr>
          <w:rFonts w:asciiTheme="majorHAnsi" w:hAnsiTheme="majorHAnsi"/>
          <w:b/>
          <w:sz w:val="24"/>
          <w:szCs w:val="24"/>
        </w:rPr>
        <w:t>Ι</w:t>
      </w:r>
      <w:r w:rsidRPr="003D618D">
        <w:rPr>
          <w:b/>
          <w:sz w:val="24"/>
          <w:szCs w:val="24"/>
        </w:rPr>
        <w:t xml:space="preserve">) </w:t>
      </w:r>
      <w:r>
        <w:rPr>
          <w:sz w:val="24"/>
          <w:szCs w:val="24"/>
        </w:rPr>
        <w:t>με τα στοιχεία της στήλης</w:t>
      </w:r>
      <w:r w:rsidRPr="003D618D">
        <w:rPr>
          <w:b/>
          <w:sz w:val="24"/>
          <w:szCs w:val="24"/>
        </w:rPr>
        <w:t>(</w:t>
      </w:r>
      <w:r w:rsidRPr="003D618D">
        <w:rPr>
          <w:rFonts w:asciiTheme="majorHAnsi" w:hAnsiTheme="majorHAnsi"/>
          <w:b/>
          <w:sz w:val="24"/>
          <w:szCs w:val="24"/>
        </w:rPr>
        <w:t>ΙΙ</w:t>
      </w:r>
      <w:r w:rsidRPr="003D618D">
        <w:rPr>
          <w:b/>
          <w:sz w:val="24"/>
          <w:szCs w:val="24"/>
        </w:rPr>
        <w:t>)</w:t>
      </w:r>
      <w:r>
        <w:rPr>
          <w:sz w:val="24"/>
          <w:szCs w:val="24"/>
        </w:rPr>
        <w:t>:</w:t>
      </w:r>
    </w:p>
    <w:p w:rsidR="00AE35EF" w:rsidRPr="003D618D" w:rsidRDefault="00AE35EF" w:rsidP="00AE35E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4928"/>
        <w:gridCol w:w="5754"/>
      </w:tblGrid>
      <w:tr w:rsidR="00AE35EF" w:rsidTr="00A90481">
        <w:tc>
          <w:tcPr>
            <w:tcW w:w="4928" w:type="dxa"/>
          </w:tcPr>
          <w:p w:rsidR="00AE35EF" w:rsidRDefault="00AE35EF" w:rsidP="00A9048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Στήλη </w:t>
            </w:r>
            <w:r w:rsidRPr="003D618D">
              <w:rPr>
                <w:b/>
                <w:sz w:val="24"/>
                <w:szCs w:val="24"/>
              </w:rPr>
              <w:t>(</w:t>
            </w:r>
            <w:r w:rsidRPr="003D618D">
              <w:rPr>
                <w:rFonts w:asciiTheme="majorHAnsi" w:hAnsiTheme="majorHAnsi"/>
                <w:b/>
                <w:sz w:val="24"/>
                <w:szCs w:val="24"/>
              </w:rPr>
              <w:t>Ι</w:t>
            </w:r>
            <w:r w:rsidRPr="003D618D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754" w:type="dxa"/>
          </w:tcPr>
          <w:p w:rsidR="00AE35EF" w:rsidRDefault="00AE35EF" w:rsidP="00A9048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Στήλη</w:t>
            </w:r>
            <w:r w:rsidRPr="003D618D">
              <w:rPr>
                <w:b/>
                <w:sz w:val="24"/>
                <w:szCs w:val="24"/>
              </w:rPr>
              <w:t xml:space="preserve"> (</w:t>
            </w:r>
            <w:r w:rsidRPr="003D618D">
              <w:rPr>
                <w:rFonts w:asciiTheme="majorHAnsi" w:hAnsiTheme="majorHAnsi"/>
                <w:b/>
                <w:sz w:val="24"/>
                <w:szCs w:val="24"/>
              </w:rPr>
              <w:t>ΙΙ</w:t>
            </w:r>
            <w:r w:rsidRPr="003D618D">
              <w:rPr>
                <w:b/>
                <w:sz w:val="24"/>
                <w:szCs w:val="24"/>
              </w:rPr>
              <w:t>)</w:t>
            </w:r>
          </w:p>
        </w:tc>
      </w:tr>
      <w:tr w:rsidR="00AE35EF" w:rsidTr="00A90481">
        <w:tc>
          <w:tcPr>
            <w:tcW w:w="4928" w:type="dxa"/>
          </w:tcPr>
          <w:p w:rsidR="00AE35EF" w:rsidRPr="00AE35EF" w:rsidRDefault="00F1503E" w:rsidP="00AE35EF">
            <w:pPr>
              <w:pStyle w:val="a3"/>
              <w:numPr>
                <w:ilvl w:val="0"/>
                <w:numId w:val="1"/>
              </w:numPr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χολερυθρίνη</w:t>
            </w:r>
          </w:p>
        </w:tc>
        <w:tc>
          <w:tcPr>
            <w:tcW w:w="5754" w:type="dxa"/>
          </w:tcPr>
          <w:p w:rsidR="00AE35EF" w:rsidRPr="00345390" w:rsidRDefault="00345390" w:rsidP="00AE35EF">
            <w:pPr>
              <w:pStyle w:val="a3"/>
              <w:numPr>
                <w:ilvl w:val="0"/>
                <w:numId w:val="2"/>
              </w:numPr>
              <w:jc w:val="left"/>
              <w:rPr>
                <w:b w:val="0"/>
                <w:sz w:val="24"/>
                <w:szCs w:val="24"/>
              </w:rPr>
            </w:pPr>
            <w:r w:rsidRPr="00345390">
              <w:rPr>
                <w:b w:val="0"/>
                <w:sz w:val="24"/>
                <w:szCs w:val="24"/>
              </w:rPr>
              <w:t>ουρικό οξύ</w:t>
            </w:r>
          </w:p>
        </w:tc>
      </w:tr>
      <w:tr w:rsidR="00AE35EF" w:rsidTr="00A90481">
        <w:tc>
          <w:tcPr>
            <w:tcW w:w="4928" w:type="dxa"/>
          </w:tcPr>
          <w:p w:rsidR="00AE35EF" w:rsidRPr="00AE35EF" w:rsidRDefault="00AE35EF" w:rsidP="00AE35EF">
            <w:pPr>
              <w:pStyle w:val="a3"/>
              <w:numPr>
                <w:ilvl w:val="0"/>
                <w:numId w:val="1"/>
              </w:numPr>
              <w:jc w:val="left"/>
              <w:rPr>
                <w:b w:val="0"/>
                <w:sz w:val="24"/>
                <w:szCs w:val="24"/>
              </w:rPr>
            </w:pPr>
            <w:r w:rsidRPr="00AE35EF">
              <w:rPr>
                <w:b w:val="0"/>
                <w:sz w:val="24"/>
                <w:szCs w:val="24"/>
              </w:rPr>
              <w:t>σφαιρίνες</w:t>
            </w:r>
          </w:p>
        </w:tc>
        <w:tc>
          <w:tcPr>
            <w:tcW w:w="5754" w:type="dxa"/>
          </w:tcPr>
          <w:p w:rsidR="00AE35EF" w:rsidRPr="00322125" w:rsidRDefault="00322125" w:rsidP="00AE35EF">
            <w:pPr>
              <w:pStyle w:val="a3"/>
              <w:numPr>
                <w:ilvl w:val="0"/>
                <w:numId w:val="2"/>
              </w:numPr>
              <w:jc w:val="left"/>
              <w:rPr>
                <w:b w:val="0"/>
                <w:sz w:val="24"/>
                <w:szCs w:val="24"/>
              </w:rPr>
            </w:pPr>
            <w:r w:rsidRPr="00322125">
              <w:rPr>
                <w:b w:val="0"/>
                <w:sz w:val="24"/>
                <w:szCs w:val="24"/>
              </w:rPr>
              <w:t>απουσία υδατανθράκων</w:t>
            </w:r>
          </w:p>
        </w:tc>
      </w:tr>
      <w:tr w:rsidR="00AE35EF" w:rsidTr="00A90481">
        <w:tc>
          <w:tcPr>
            <w:tcW w:w="4928" w:type="dxa"/>
          </w:tcPr>
          <w:p w:rsidR="00AE35EF" w:rsidRPr="00AE35EF" w:rsidRDefault="00AE35EF" w:rsidP="00AE35EF">
            <w:pPr>
              <w:pStyle w:val="a3"/>
              <w:numPr>
                <w:ilvl w:val="0"/>
                <w:numId w:val="1"/>
              </w:numPr>
              <w:jc w:val="left"/>
              <w:rPr>
                <w:b w:val="0"/>
                <w:sz w:val="24"/>
                <w:szCs w:val="24"/>
              </w:rPr>
            </w:pPr>
            <w:r w:rsidRPr="00AE35EF">
              <w:rPr>
                <w:b w:val="0"/>
                <w:sz w:val="24"/>
                <w:szCs w:val="24"/>
              </w:rPr>
              <w:t>αθηρωματικός δείκτης</w:t>
            </w:r>
          </w:p>
        </w:tc>
        <w:tc>
          <w:tcPr>
            <w:tcW w:w="5754" w:type="dxa"/>
          </w:tcPr>
          <w:p w:rsidR="00AE35EF" w:rsidRPr="00F1503E" w:rsidRDefault="00F1503E" w:rsidP="00AE35EF">
            <w:pPr>
              <w:pStyle w:val="a3"/>
              <w:numPr>
                <w:ilvl w:val="0"/>
                <w:numId w:val="2"/>
              </w:numPr>
              <w:jc w:val="left"/>
              <w:rPr>
                <w:b w:val="0"/>
                <w:sz w:val="24"/>
                <w:szCs w:val="24"/>
              </w:rPr>
            </w:pPr>
            <w:r w:rsidRPr="00F1503E">
              <w:rPr>
                <w:b w:val="0"/>
                <w:sz w:val="24"/>
                <w:szCs w:val="24"/>
              </w:rPr>
              <w:t>ίκτερος</w:t>
            </w:r>
          </w:p>
        </w:tc>
      </w:tr>
      <w:tr w:rsidR="00AE35EF" w:rsidTr="00A90481">
        <w:tc>
          <w:tcPr>
            <w:tcW w:w="4928" w:type="dxa"/>
          </w:tcPr>
          <w:p w:rsidR="00AE35EF" w:rsidRPr="00AE35EF" w:rsidRDefault="00345390" w:rsidP="00AE35EF">
            <w:pPr>
              <w:pStyle w:val="a3"/>
              <w:numPr>
                <w:ilvl w:val="0"/>
                <w:numId w:val="1"/>
              </w:numPr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πουρίνες</w:t>
            </w:r>
          </w:p>
        </w:tc>
        <w:tc>
          <w:tcPr>
            <w:tcW w:w="5754" w:type="dxa"/>
          </w:tcPr>
          <w:p w:rsidR="00AE35EF" w:rsidRPr="00AE35EF" w:rsidRDefault="00AE35EF" w:rsidP="00AE35EF">
            <w:pPr>
              <w:pStyle w:val="a3"/>
              <w:numPr>
                <w:ilvl w:val="0"/>
                <w:numId w:val="2"/>
              </w:numPr>
              <w:jc w:val="left"/>
              <w:rPr>
                <w:b w:val="0"/>
                <w:sz w:val="24"/>
                <w:szCs w:val="24"/>
              </w:rPr>
            </w:pPr>
            <w:r w:rsidRPr="00AE35EF">
              <w:rPr>
                <w:b w:val="0"/>
                <w:sz w:val="24"/>
                <w:szCs w:val="24"/>
              </w:rPr>
              <w:t>ανοσολογικό αμυντικό σύστημα</w:t>
            </w:r>
          </w:p>
        </w:tc>
      </w:tr>
      <w:tr w:rsidR="00AE35EF" w:rsidTr="00A90481">
        <w:tc>
          <w:tcPr>
            <w:tcW w:w="4928" w:type="dxa"/>
          </w:tcPr>
          <w:p w:rsidR="00AE35EF" w:rsidRPr="00AE35EF" w:rsidRDefault="00AE35EF" w:rsidP="00AE35EF">
            <w:pPr>
              <w:pStyle w:val="a3"/>
              <w:numPr>
                <w:ilvl w:val="0"/>
                <w:numId w:val="1"/>
              </w:numPr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οξονουρία ή κετονουρία</w:t>
            </w:r>
          </w:p>
        </w:tc>
        <w:tc>
          <w:tcPr>
            <w:tcW w:w="5754" w:type="dxa"/>
          </w:tcPr>
          <w:p w:rsidR="00AE35EF" w:rsidRPr="00621255" w:rsidRDefault="00322125" w:rsidP="00AE35EF">
            <w:pPr>
              <w:pStyle w:val="a3"/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σακχαρώδης διαβήτης</w:t>
            </w:r>
          </w:p>
        </w:tc>
      </w:tr>
      <w:tr w:rsidR="00AE35EF" w:rsidTr="00A90481">
        <w:tc>
          <w:tcPr>
            <w:tcW w:w="4928" w:type="dxa"/>
          </w:tcPr>
          <w:p w:rsidR="00AE35EF" w:rsidRPr="00621255" w:rsidRDefault="00322125" w:rsidP="00AE35EF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γλυκοαιμοσφαιρίνη</w:t>
            </w:r>
          </w:p>
        </w:tc>
        <w:tc>
          <w:tcPr>
            <w:tcW w:w="5754" w:type="dxa"/>
          </w:tcPr>
          <w:p w:rsidR="00AE35EF" w:rsidRPr="00AE35EF" w:rsidRDefault="00AE35EF" w:rsidP="00AE35EF">
            <w:pPr>
              <w:pStyle w:val="a3"/>
              <w:numPr>
                <w:ilvl w:val="0"/>
                <w:numId w:val="2"/>
              </w:numPr>
              <w:jc w:val="left"/>
              <w:rPr>
                <w:b w:val="0"/>
                <w:sz w:val="24"/>
                <w:szCs w:val="24"/>
              </w:rPr>
            </w:pPr>
            <w:r w:rsidRPr="00AE35EF">
              <w:rPr>
                <w:b w:val="0"/>
                <w:sz w:val="24"/>
                <w:szCs w:val="24"/>
              </w:rPr>
              <w:t>εκτίμηση κινδύνου μελλοντικού εμφράγματος</w:t>
            </w:r>
          </w:p>
        </w:tc>
      </w:tr>
    </w:tbl>
    <w:p w:rsidR="00227A45" w:rsidRDefault="00227A45" w:rsidP="00227A45">
      <w:pPr>
        <w:rPr>
          <w:b/>
          <w:sz w:val="24"/>
          <w:szCs w:val="24"/>
        </w:rPr>
      </w:pPr>
    </w:p>
    <w:p w:rsidR="00227A45" w:rsidRDefault="00227A45" w:rsidP="00227A45">
      <w:pPr>
        <w:rPr>
          <w:b/>
          <w:sz w:val="24"/>
          <w:szCs w:val="24"/>
        </w:rPr>
      </w:pPr>
    </w:p>
    <w:p w:rsidR="00227A45" w:rsidRPr="00652C32" w:rsidRDefault="00227A45" w:rsidP="00227A45">
      <w:pPr>
        <w:rPr>
          <w:b/>
          <w:sz w:val="24"/>
          <w:szCs w:val="24"/>
          <w:lang w:val="en-US"/>
        </w:rPr>
      </w:pPr>
    </w:p>
    <w:p w:rsidR="00227A45" w:rsidRDefault="00227A45" w:rsidP="00227A4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Α4. </w:t>
      </w:r>
      <w:r>
        <w:rPr>
          <w:sz w:val="24"/>
          <w:szCs w:val="24"/>
        </w:rPr>
        <w:t>Συμπληρώστε τα κενά στις παρακάτω προτάσεις επιλέγοντας την κατάλληλη λέξη από την παρένθεση:</w:t>
      </w:r>
    </w:p>
    <w:p w:rsidR="00227A45" w:rsidRPr="002414E4" w:rsidRDefault="00227A45" w:rsidP="00227A4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sz w:val="24"/>
          <w:szCs w:val="24"/>
        </w:rPr>
        <w:t>Το φαινόμενο της μεταφοράς μορίων διαλύτη από ένα _________________ (</w:t>
      </w:r>
      <w:r w:rsidRPr="00227A45">
        <w:rPr>
          <w:b/>
          <w:sz w:val="24"/>
          <w:szCs w:val="24"/>
        </w:rPr>
        <w:t>αραιότερο/πυκνότερο</w:t>
      </w:r>
      <w:r>
        <w:rPr>
          <w:sz w:val="24"/>
          <w:szCs w:val="24"/>
        </w:rPr>
        <w:t>)    διάλυμα, σ’ ένα _______________(</w:t>
      </w:r>
      <w:r w:rsidRPr="00227A45">
        <w:rPr>
          <w:b/>
          <w:sz w:val="24"/>
          <w:szCs w:val="24"/>
        </w:rPr>
        <w:t>αραιότερο/πυκνότερο</w:t>
      </w:r>
      <w:r>
        <w:rPr>
          <w:sz w:val="24"/>
          <w:szCs w:val="24"/>
        </w:rPr>
        <w:t>) διάλυμα μέσω ημιπερατής μεμβράνης, λέγεται ώσμωση</w:t>
      </w:r>
    </w:p>
    <w:p w:rsidR="00227A45" w:rsidRPr="00E93A17" w:rsidRDefault="00227A45" w:rsidP="00227A4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sz w:val="24"/>
          <w:szCs w:val="24"/>
        </w:rPr>
        <w:t>Αιμόλυση των ερυθρών αιμοσφαιρίων παρουσιάζεται όταν αυτά βρεθούν σε ________________ (υπότονο/υπέρτονο) διάλυμα, δηλαδή σε ________________  (</w:t>
      </w:r>
      <w:r w:rsidRPr="00227A45">
        <w:rPr>
          <w:b/>
          <w:sz w:val="24"/>
          <w:szCs w:val="24"/>
        </w:rPr>
        <w:t>αραιότερο/πυκνότερο</w:t>
      </w:r>
      <w:r>
        <w:rPr>
          <w:sz w:val="24"/>
          <w:szCs w:val="24"/>
        </w:rPr>
        <w:t>) διάλυμα από το περιεχόμενο τους. Τότε εξαιτίας της ώσμωσης το νερό _____________ (</w:t>
      </w:r>
      <w:r w:rsidRPr="009664D7">
        <w:rPr>
          <w:b/>
          <w:sz w:val="24"/>
          <w:szCs w:val="24"/>
        </w:rPr>
        <w:t>εισέρχεται/εξέρχεται</w:t>
      </w:r>
      <w:r>
        <w:rPr>
          <w:sz w:val="24"/>
          <w:szCs w:val="24"/>
        </w:rPr>
        <w:t>) με αποτέλεσμα να _________________ (</w:t>
      </w:r>
      <w:r w:rsidRPr="009664D7">
        <w:rPr>
          <w:b/>
          <w:sz w:val="24"/>
          <w:szCs w:val="24"/>
        </w:rPr>
        <w:t>διογκωθούν/συρρικνωθούν</w:t>
      </w:r>
      <w:r>
        <w:rPr>
          <w:sz w:val="24"/>
          <w:szCs w:val="24"/>
        </w:rPr>
        <w:t>)</w:t>
      </w:r>
    </w:p>
    <w:p w:rsidR="00227A45" w:rsidRPr="0055580C" w:rsidRDefault="00227A45" w:rsidP="00227A4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>
        <w:rPr>
          <w:sz w:val="24"/>
          <w:szCs w:val="24"/>
        </w:rPr>
        <w:t xml:space="preserve">Όταν τα ούρα παραμένουν εκτεθειμένα σε θερμοκρασία περιβάλλοντος, διασπάται η ουρία σε αμμωνία, οπότε το </w:t>
      </w:r>
      <w:r>
        <w:rPr>
          <w:sz w:val="24"/>
          <w:szCs w:val="24"/>
          <w:lang w:val="en-US"/>
        </w:rPr>
        <w:t>PH</w:t>
      </w:r>
      <w:r>
        <w:rPr>
          <w:sz w:val="24"/>
          <w:szCs w:val="24"/>
        </w:rPr>
        <w:t xml:space="preserve"> τους γίνεται ________________ (</w:t>
      </w:r>
      <w:r w:rsidRPr="009664D7">
        <w:rPr>
          <w:b/>
          <w:sz w:val="24"/>
          <w:szCs w:val="24"/>
        </w:rPr>
        <w:t>όξινο/αλκαλικό</w:t>
      </w:r>
      <w:r>
        <w:rPr>
          <w:sz w:val="24"/>
          <w:szCs w:val="24"/>
        </w:rPr>
        <w:t>)</w:t>
      </w:r>
    </w:p>
    <w:p w:rsidR="00227A45" w:rsidRPr="001C17FB" w:rsidRDefault="00227A45" w:rsidP="00227A4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>
        <w:rPr>
          <w:sz w:val="24"/>
          <w:szCs w:val="24"/>
        </w:rPr>
        <w:t>Η παρουσία οξονικών σωμάτων στα ούρα παρατηρείται όταν τα αποθέματα ______________ (</w:t>
      </w:r>
      <w:r w:rsidRPr="009664D7">
        <w:rPr>
          <w:b/>
          <w:sz w:val="24"/>
          <w:szCs w:val="24"/>
        </w:rPr>
        <w:t>υδατανθράκων/λιπών</w:t>
      </w:r>
      <w:r>
        <w:rPr>
          <w:sz w:val="24"/>
          <w:szCs w:val="24"/>
        </w:rPr>
        <w:t>) εξαντλούνται, όπως στον σακχαρώδη διαβήτη</w:t>
      </w:r>
    </w:p>
    <w:p w:rsidR="00652C32" w:rsidRPr="001C17FB" w:rsidRDefault="00652C32" w:rsidP="00227A45">
      <w:pPr>
        <w:rPr>
          <w:sz w:val="24"/>
          <w:szCs w:val="24"/>
        </w:rPr>
      </w:pPr>
    </w:p>
    <w:p w:rsidR="00652C32" w:rsidRPr="001C17FB" w:rsidRDefault="00652C32" w:rsidP="00227A45">
      <w:pPr>
        <w:rPr>
          <w:sz w:val="24"/>
          <w:szCs w:val="24"/>
        </w:rPr>
      </w:pPr>
    </w:p>
    <w:p w:rsidR="00652C32" w:rsidRPr="001C17FB" w:rsidRDefault="00652C32" w:rsidP="00227A45">
      <w:pPr>
        <w:rPr>
          <w:sz w:val="24"/>
          <w:szCs w:val="24"/>
        </w:rPr>
      </w:pPr>
    </w:p>
    <w:p w:rsidR="00652C32" w:rsidRPr="00652C32" w:rsidRDefault="00652C32" w:rsidP="00652C32">
      <w:pPr>
        <w:spacing w:after="0" w:line="240" w:lineRule="auto"/>
        <w:rPr>
          <w:sz w:val="24"/>
          <w:szCs w:val="24"/>
        </w:rPr>
      </w:pPr>
      <w:r w:rsidRPr="00652C32">
        <w:rPr>
          <w:b/>
          <w:sz w:val="24"/>
          <w:szCs w:val="24"/>
        </w:rPr>
        <w:t xml:space="preserve">Α5. </w:t>
      </w:r>
      <w:r w:rsidRPr="00652C32">
        <w:rPr>
          <w:sz w:val="24"/>
          <w:szCs w:val="24"/>
        </w:rPr>
        <w:t xml:space="preserve">Αντιστοιχίστε το κάθε στοιχείο της στήλης </w:t>
      </w:r>
      <w:r w:rsidRPr="00652C32">
        <w:rPr>
          <w:b/>
          <w:sz w:val="24"/>
          <w:szCs w:val="24"/>
        </w:rPr>
        <w:t>(</w:t>
      </w:r>
      <w:r w:rsidRPr="00652C32">
        <w:rPr>
          <w:rFonts w:asciiTheme="majorHAnsi" w:hAnsiTheme="majorHAnsi"/>
          <w:b/>
          <w:sz w:val="24"/>
          <w:szCs w:val="24"/>
        </w:rPr>
        <w:t>Ι</w:t>
      </w:r>
      <w:r w:rsidRPr="00652C32">
        <w:rPr>
          <w:b/>
          <w:sz w:val="24"/>
          <w:szCs w:val="24"/>
        </w:rPr>
        <w:t>)</w:t>
      </w:r>
      <w:r w:rsidRPr="00652C32">
        <w:rPr>
          <w:sz w:val="24"/>
          <w:szCs w:val="24"/>
        </w:rPr>
        <w:t xml:space="preserve"> με ένα στοιχείο της στήλης </w:t>
      </w:r>
      <w:r w:rsidRPr="00652C32">
        <w:rPr>
          <w:b/>
          <w:sz w:val="24"/>
          <w:szCs w:val="24"/>
        </w:rPr>
        <w:t>(</w:t>
      </w:r>
      <w:r w:rsidRPr="00652C32">
        <w:rPr>
          <w:rFonts w:asciiTheme="majorHAnsi" w:hAnsiTheme="majorHAnsi"/>
          <w:b/>
          <w:sz w:val="24"/>
          <w:szCs w:val="24"/>
        </w:rPr>
        <w:t>ΙΙ</w:t>
      </w:r>
      <w:r w:rsidRPr="00652C32">
        <w:rPr>
          <w:b/>
          <w:sz w:val="24"/>
          <w:szCs w:val="24"/>
        </w:rPr>
        <w:t>)</w:t>
      </w:r>
      <w:r w:rsidRPr="00652C32">
        <w:rPr>
          <w:sz w:val="24"/>
          <w:szCs w:val="24"/>
        </w:rPr>
        <w:t xml:space="preserve"> έτσι ώστε</w:t>
      </w:r>
    </w:p>
    <w:p w:rsidR="00652C32" w:rsidRDefault="00652C32" w:rsidP="00652C32">
      <w:pPr>
        <w:spacing w:after="0" w:line="240" w:lineRule="auto"/>
        <w:rPr>
          <w:sz w:val="24"/>
          <w:szCs w:val="24"/>
        </w:rPr>
      </w:pPr>
      <w:r w:rsidRPr="00652C32">
        <w:rPr>
          <w:sz w:val="24"/>
          <w:szCs w:val="24"/>
        </w:rPr>
        <w:t xml:space="preserve">       οι ποσότητες που αντιστοιχίζονται να είναι ίσες</w:t>
      </w:r>
      <w:r>
        <w:rPr>
          <w:sz w:val="24"/>
          <w:szCs w:val="24"/>
        </w:rPr>
        <w:t>:</w:t>
      </w:r>
    </w:p>
    <w:p w:rsidR="00652C32" w:rsidRDefault="00652C32" w:rsidP="00652C32">
      <w:pPr>
        <w:spacing w:after="0" w:line="240" w:lineRule="auto"/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341"/>
        <w:gridCol w:w="5341"/>
      </w:tblGrid>
      <w:tr w:rsidR="00652C32" w:rsidRPr="00A75561" w:rsidTr="00A90481">
        <w:tc>
          <w:tcPr>
            <w:tcW w:w="5341" w:type="dxa"/>
          </w:tcPr>
          <w:p w:rsidR="00652C32" w:rsidRPr="00A75561" w:rsidRDefault="00652C32" w:rsidP="00A90481">
            <w:pPr>
              <w:jc w:val="center"/>
              <w:rPr>
                <w:b/>
              </w:rPr>
            </w:pPr>
            <w:r w:rsidRPr="00A75561">
              <w:rPr>
                <w:b/>
                <w:sz w:val="28"/>
                <w:szCs w:val="28"/>
              </w:rPr>
              <w:t>Στήλη(</w:t>
            </w:r>
            <w:r w:rsidRPr="00A75561">
              <w:rPr>
                <w:rFonts w:asciiTheme="majorHAnsi" w:hAnsiTheme="majorHAnsi"/>
                <w:b/>
                <w:sz w:val="28"/>
                <w:szCs w:val="28"/>
              </w:rPr>
              <w:t>Ι</w:t>
            </w:r>
            <w:r w:rsidRPr="00A75561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5341" w:type="dxa"/>
          </w:tcPr>
          <w:p w:rsidR="00652C32" w:rsidRPr="00A75561" w:rsidRDefault="00652C32" w:rsidP="00A90481">
            <w:pPr>
              <w:jc w:val="center"/>
              <w:rPr>
                <w:b/>
                <w:sz w:val="28"/>
                <w:szCs w:val="28"/>
              </w:rPr>
            </w:pPr>
            <w:r w:rsidRPr="00A75561">
              <w:rPr>
                <w:b/>
                <w:sz w:val="28"/>
                <w:szCs w:val="28"/>
              </w:rPr>
              <w:t>Στήλη(</w:t>
            </w:r>
            <w:r w:rsidRPr="00A75561">
              <w:rPr>
                <w:rFonts w:asciiTheme="majorHAnsi" w:hAnsiTheme="majorHAnsi"/>
                <w:b/>
                <w:sz w:val="28"/>
                <w:szCs w:val="28"/>
              </w:rPr>
              <w:t>ΙΙ</w:t>
            </w:r>
            <w:r w:rsidRPr="00A75561">
              <w:rPr>
                <w:b/>
                <w:sz w:val="28"/>
                <w:szCs w:val="28"/>
              </w:rPr>
              <w:t>)</w:t>
            </w:r>
          </w:p>
        </w:tc>
      </w:tr>
      <w:tr w:rsidR="00652C32" w:rsidTr="00A90481">
        <w:tc>
          <w:tcPr>
            <w:tcW w:w="5341" w:type="dxa"/>
          </w:tcPr>
          <w:p w:rsidR="00652C32" w:rsidRPr="00907A87" w:rsidRDefault="00652C32" w:rsidP="00A9048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1.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1kg</w:t>
            </w:r>
          </w:p>
        </w:tc>
        <w:tc>
          <w:tcPr>
            <w:tcW w:w="5341" w:type="dxa"/>
          </w:tcPr>
          <w:p w:rsidR="00652C32" w:rsidRPr="00907A87" w:rsidRDefault="00652C32" w:rsidP="00A90481">
            <w:pPr>
              <w:jc w:val="center"/>
              <w:rPr>
                <w:sz w:val="28"/>
                <w:szCs w:val="28"/>
                <w:lang w:val="en-US"/>
              </w:rPr>
            </w:pPr>
            <w:r w:rsidRPr="00A75561">
              <w:rPr>
                <w:b/>
                <w:sz w:val="28"/>
                <w:szCs w:val="28"/>
                <w:lang w:val="en-US"/>
              </w:rPr>
              <w:t>a.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10</w:t>
            </w:r>
            <w:r w:rsidRPr="00907A87">
              <w:rPr>
                <w:sz w:val="32"/>
                <w:szCs w:val="32"/>
                <w:vertAlign w:val="superscript"/>
                <w:lang w:val="en-US"/>
              </w:rPr>
              <w:t>–6</w:t>
            </w:r>
            <w:r>
              <w:rPr>
                <w:sz w:val="28"/>
                <w:szCs w:val="28"/>
                <w:lang w:val="en-US"/>
              </w:rPr>
              <w:t xml:space="preserve"> g</w:t>
            </w:r>
          </w:p>
        </w:tc>
      </w:tr>
      <w:tr w:rsidR="00652C32" w:rsidRPr="00907A87" w:rsidTr="00A90481">
        <w:tc>
          <w:tcPr>
            <w:tcW w:w="5341" w:type="dxa"/>
          </w:tcPr>
          <w:p w:rsidR="00652C32" w:rsidRPr="00907A87" w:rsidRDefault="00652C32" w:rsidP="00A90481">
            <w:pPr>
              <w:jc w:val="center"/>
              <w:rPr>
                <w:sz w:val="28"/>
                <w:szCs w:val="28"/>
                <w:lang w:val="en-US"/>
              </w:rPr>
            </w:pPr>
            <w:r w:rsidRPr="00A75561">
              <w:rPr>
                <w:b/>
                <w:sz w:val="28"/>
                <w:szCs w:val="28"/>
              </w:rPr>
              <w:t>2.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1Mg</w:t>
            </w:r>
          </w:p>
        </w:tc>
        <w:tc>
          <w:tcPr>
            <w:tcW w:w="5341" w:type="dxa"/>
          </w:tcPr>
          <w:p w:rsidR="00652C32" w:rsidRPr="00907A87" w:rsidRDefault="00652C32" w:rsidP="00A90481">
            <w:pPr>
              <w:jc w:val="center"/>
              <w:rPr>
                <w:sz w:val="28"/>
                <w:szCs w:val="28"/>
                <w:lang w:val="en-US"/>
              </w:rPr>
            </w:pPr>
            <w:r w:rsidRPr="00A75561">
              <w:rPr>
                <w:b/>
                <w:sz w:val="28"/>
                <w:szCs w:val="28"/>
                <w:lang w:val="en-US"/>
              </w:rPr>
              <w:t>b.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10</w:t>
            </w:r>
            <w:r w:rsidRPr="00907A87">
              <w:rPr>
                <w:sz w:val="32"/>
                <w:szCs w:val="32"/>
                <w:vertAlign w:val="superscript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 xml:space="preserve">  g</w:t>
            </w:r>
          </w:p>
        </w:tc>
      </w:tr>
      <w:tr w:rsidR="00652C32" w:rsidRPr="00907A87" w:rsidTr="00A90481">
        <w:tc>
          <w:tcPr>
            <w:tcW w:w="5341" w:type="dxa"/>
          </w:tcPr>
          <w:p w:rsidR="00652C32" w:rsidRPr="00907A87" w:rsidRDefault="00652C32" w:rsidP="00A90481">
            <w:pPr>
              <w:jc w:val="center"/>
              <w:rPr>
                <w:sz w:val="28"/>
                <w:szCs w:val="28"/>
                <w:lang w:val="en-US"/>
              </w:rPr>
            </w:pPr>
            <w:r w:rsidRPr="00907A87">
              <w:rPr>
                <w:b/>
                <w:sz w:val="28"/>
                <w:szCs w:val="28"/>
                <w:lang w:val="en-US"/>
              </w:rPr>
              <w:t>3.</w:t>
            </w:r>
            <w:r>
              <w:rPr>
                <w:sz w:val="28"/>
                <w:szCs w:val="28"/>
                <w:lang w:val="en-US"/>
              </w:rPr>
              <w:t xml:space="preserve"> 1ng</w:t>
            </w:r>
          </w:p>
        </w:tc>
        <w:tc>
          <w:tcPr>
            <w:tcW w:w="5341" w:type="dxa"/>
          </w:tcPr>
          <w:p w:rsidR="00652C32" w:rsidRPr="00907A87" w:rsidRDefault="00652C32" w:rsidP="00A90481">
            <w:pPr>
              <w:jc w:val="center"/>
              <w:rPr>
                <w:sz w:val="28"/>
                <w:szCs w:val="28"/>
                <w:lang w:val="en-US"/>
              </w:rPr>
            </w:pPr>
            <w:r w:rsidRPr="00A75561">
              <w:rPr>
                <w:b/>
                <w:sz w:val="28"/>
                <w:szCs w:val="28"/>
                <w:lang w:val="en-US"/>
              </w:rPr>
              <w:t>c.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10</w:t>
            </w:r>
            <w:r w:rsidRPr="00907A87">
              <w:rPr>
                <w:sz w:val="32"/>
                <w:szCs w:val="32"/>
                <w:vertAlign w:val="superscript"/>
                <w:lang w:val="en-US"/>
              </w:rPr>
              <w:t>–3</w:t>
            </w:r>
            <w:r>
              <w:rPr>
                <w:sz w:val="28"/>
                <w:szCs w:val="28"/>
                <w:lang w:val="en-US"/>
              </w:rPr>
              <w:t>g</w:t>
            </w:r>
          </w:p>
        </w:tc>
      </w:tr>
      <w:tr w:rsidR="00652C32" w:rsidRPr="00907A87" w:rsidTr="00A90481">
        <w:tc>
          <w:tcPr>
            <w:tcW w:w="5341" w:type="dxa"/>
          </w:tcPr>
          <w:p w:rsidR="00652C32" w:rsidRPr="00907A87" w:rsidRDefault="00652C32" w:rsidP="00A90481">
            <w:pPr>
              <w:jc w:val="center"/>
              <w:rPr>
                <w:sz w:val="28"/>
                <w:szCs w:val="28"/>
                <w:lang w:val="en-US"/>
              </w:rPr>
            </w:pPr>
            <w:r w:rsidRPr="00907A87">
              <w:rPr>
                <w:b/>
                <w:sz w:val="28"/>
                <w:szCs w:val="28"/>
                <w:lang w:val="en-US"/>
              </w:rPr>
              <w:t>4.</w:t>
            </w:r>
            <w:r>
              <w:rPr>
                <w:sz w:val="28"/>
                <w:szCs w:val="28"/>
                <w:lang w:val="en-US"/>
              </w:rPr>
              <w:t xml:space="preserve"> 1</w:t>
            </w:r>
            <w:r>
              <w:rPr>
                <w:sz w:val="28"/>
                <w:szCs w:val="28"/>
              </w:rPr>
              <w:t>μ</w:t>
            </w:r>
            <w:r>
              <w:rPr>
                <w:sz w:val="28"/>
                <w:szCs w:val="28"/>
                <w:lang w:val="en-US"/>
              </w:rPr>
              <w:t>g</w:t>
            </w:r>
          </w:p>
        </w:tc>
        <w:tc>
          <w:tcPr>
            <w:tcW w:w="5341" w:type="dxa"/>
          </w:tcPr>
          <w:p w:rsidR="00652C32" w:rsidRPr="00907A87" w:rsidRDefault="00652C32" w:rsidP="00A90481">
            <w:pPr>
              <w:jc w:val="center"/>
              <w:rPr>
                <w:sz w:val="28"/>
                <w:szCs w:val="28"/>
                <w:lang w:val="en-US"/>
              </w:rPr>
            </w:pPr>
            <w:r w:rsidRPr="00A75561">
              <w:rPr>
                <w:b/>
                <w:sz w:val="28"/>
                <w:szCs w:val="28"/>
                <w:lang w:val="en-US"/>
              </w:rPr>
              <w:t>d.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10</w:t>
            </w:r>
            <w:r w:rsidRPr="00680B7E">
              <w:rPr>
                <w:sz w:val="32"/>
                <w:szCs w:val="32"/>
                <w:vertAlign w:val="superscript"/>
                <w:lang w:val="en-US"/>
              </w:rPr>
              <w:t>6</w:t>
            </w:r>
            <w:r>
              <w:rPr>
                <w:sz w:val="28"/>
                <w:szCs w:val="28"/>
                <w:lang w:val="en-US"/>
              </w:rPr>
              <w:t xml:space="preserve"> g</w:t>
            </w:r>
          </w:p>
        </w:tc>
      </w:tr>
      <w:tr w:rsidR="00652C32" w:rsidRPr="00907A87" w:rsidTr="00A90481">
        <w:tc>
          <w:tcPr>
            <w:tcW w:w="5341" w:type="dxa"/>
          </w:tcPr>
          <w:p w:rsidR="00652C32" w:rsidRPr="00907A87" w:rsidRDefault="00652C32" w:rsidP="00652C32">
            <w:pPr>
              <w:jc w:val="center"/>
              <w:rPr>
                <w:sz w:val="28"/>
                <w:szCs w:val="28"/>
                <w:lang w:val="en-US"/>
              </w:rPr>
            </w:pPr>
            <w:r w:rsidRPr="00907A87">
              <w:rPr>
                <w:b/>
                <w:sz w:val="28"/>
                <w:szCs w:val="28"/>
                <w:lang w:val="en-US"/>
              </w:rPr>
              <w:t>5.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1mg</w:t>
            </w:r>
          </w:p>
        </w:tc>
        <w:tc>
          <w:tcPr>
            <w:tcW w:w="5341" w:type="dxa"/>
          </w:tcPr>
          <w:p w:rsidR="00652C32" w:rsidRPr="00680B7E" w:rsidRDefault="00652C32" w:rsidP="00A90481">
            <w:pPr>
              <w:jc w:val="center"/>
              <w:rPr>
                <w:sz w:val="28"/>
                <w:szCs w:val="28"/>
                <w:lang w:val="en-US"/>
              </w:rPr>
            </w:pPr>
            <w:r w:rsidRPr="00A75561">
              <w:rPr>
                <w:b/>
                <w:sz w:val="28"/>
                <w:szCs w:val="28"/>
                <w:lang w:val="en-US"/>
              </w:rPr>
              <w:t>e.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10</w:t>
            </w:r>
            <w:r w:rsidRPr="00680B7E">
              <w:rPr>
                <w:sz w:val="32"/>
                <w:szCs w:val="32"/>
                <w:vertAlign w:val="superscript"/>
                <w:lang w:val="en-US"/>
              </w:rPr>
              <w:t>–9</w:t>
            </w:r>
            <w:r>
              <w:rPr>
                <w:sz w:val="28"/>
                <w:szCs w:val="28"/>
                <w:lang w:val="en-US"/>
              </w:rPr>
              <w:t>g</w:t>
            </w:r>
          </w:p>
        </w:tc>
      </w:tr>
    </w:tbl>
    <w:p w:rsidR="00652C32" w:rsidRPr="00652C32" w:rsidRDefault="00652C32" w:rsidP="00652C32">
      <w:pPr>
        <w:spacing w:after="0" w:line="240" w:lineRule="auto"/>
        <w:rPr>
          <w:sz w:val="24"/>
          <w:szCs w:val="24"/>
        </w:rPr>
      </w:pPr>
    </w:p>
    <w:p w:rsidR="00227A45" w:rsidRDefault="00227A45">
      <w:pPr>
        <w:rPr>
          <w:b/>
          <w:sz w:val="24"/>
          <w:szCs w:val="24"/>
        </w:rPr>
      </w:pPr>
    </w:p>
    <w:p w:rsidR="00322125" w:rsidRPr="00322125" w:rsidRDefault="00322125">
      <w:pPr>
        <w:rPr>
          <w:sz w:val="24"/>
          <w:szCs w:val="24"/>
        </w:rPr>
      </w:pPr>
    </w:p>
    <w:sectPr w:rsidR="00322125" w:rsidRPr="00322125" w:rsidSect="00F20D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FA7" w:rsidRDefault="008B0FA7" w:rsidP="0072168E">
      <w:pPr>
        <w:spacing w:after="0" w:line="240" w:lineRule="auto"/>
      </w:pPr>
      <w:r>
        <w:separator/>
      </w:r>
    </w:p>
  </w:endnote>
  <w:endnote w:type="continuationSeparator" w:id="0">
    <w:p w:rsidR="008B0FA7" w:rsidRDefault="008B0FA7" w:rsidP="00721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FA7" w:rsidRDefault="008B0FA7" w:rsidP="0072168E">
      <w:pPr>
        <w:spacing w:after="0" w:line="240" w:lineRule="auto"/>
      </w:pPr>
      <w:r>
        <w:separator/>
      </w:r>
    </w:p>
  </w:footnote>
  <w:footnote w:type="continuationSeparator" w:id="0">
    <w:p w:rsidR="008B0FA7" w:rsidRDefault="008B0FA7" w:rsidP="007216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141F6"/>
    <w:multiLevelType w:val="hybridMultilevel"/>
    <w:tmpl w:val="24402EDA"/>
    <w:lvl w:ilvl="0" w:tplc="DE48EAB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3849E3"/>
    <w:multiLevelType w:val="hybridMultilevel"/>
    <w:tmpl w:val="EBF4B6E4"/>
    <w:lvl w:ilvl="0" w:tplc="F27AE4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20DE2"/>
    <w:rsid w:val="001A36D4"/>
    <w:rsid w:val="001C17FB"/>
    <w:rsid w:val="00227A45"/>
    <w:rsid w:val="00322125"/>
    <w:rsid w:val="00345390"/>
    <w:rsid w:val="00424085"/>
    <w:rsid w:val="0046662D"/>
    <w:rsid w:val="004E6DAA"/>
    <w:rsid w:val="00652C32"/>
    <w:rsid w:val="00690776"/>
    <w:rsid w:val="0072168E"/>
    <w:rsid w:val="007B3AD9"/>
    <w:rsid w:val="00801483"/>
    <w:rsid w:val="008B0FA7"/>
    <w:rsid w:val="009664D7"/>
    <w:rsid w:val="00AE35EF"/>
    <w:rsid w:val="00D02EB0"/>
    <w:rsid w:val="00D9047D"/>
    <w:rsid w:val="00F1503E"/>
    <w:rsid w:val="00F20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68E"/>
    <w:pPr>
      <w:spacing w:after="0" w:line="240" w:lineRule="auto"/>
      <w:ind w:left="720"/>
      <w:contextualSpacing/>
      <w:jc w:val="center"/>
    </w:pPr>
    <w:rPr>
      <w:b/>
      <w:sz w:val="28"/>
      <w:szCs w:val="28"/>
    </w:rPr>
  </w:style>
  <w:style w:type="paragraph" w:styleId="a4">
    <w:name w:val="footnote text"/>
    <w:basedOn w:val="a"/>
    <w:link w:val="Char"/>
    <w:uiPriority w:val="99"/>
    <w:semiHidden/>
    <w:unhideWhenUsed/>
    <w:rsid w:val="0072168E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4"/>
    <w:uiPriority w:val="99"/>
    <w:semiHidden/>
    <w:rsid w:val="0072168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2168E"/>
    <w:rPr>
      <w:vertAlign w:val="superscript"/>
    </w:rPr>
  </w:style>
  <w:style w:type="table" w:styleId="a6">
    <w:name w:val="Table Grid"/>
    <w:basedOn w:val="a1"/>
    <w:uiPriority w:val="59"/>
    <w:rsid w:val="004E6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39501-1240-463D-A6A7-CAE3B43AC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538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</dc:creator>
  <cp:keywords/>
  <dc:description/>
  <cp:lastModifiedBy>ΜΑΡΙΑ</cp:lastModifiedBy>
  <cp:revision>4</cp:revision>
  <dcterms:created xsi:type="dcterms:W3CDTF">2020-03-25T16:48:00Z</dcterms:created>
  <dcterms:modified xsi:type="dcterms:W3CDTF">2020-03-25T20:24:00Z</dcterms:modified>
</cp:coreProperties>
</file>